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left"/>
        <w:outlineLvl w:val="0"/>
        <w:rPr>
          <w:rFonts w:ascii="方正小标宋简体" w:hAnsi="宋体" w:eastAsia="方正小标宋简体"/>
          <w:szCs w:val="21"/>
        </w:rPr>
      </w:pPr>
      <w:bookmarkStart w:id="0" w:name="_Toc15306267"/>
    </w:p>
    <w:p>
      <w:pPr>
        <w:pStyle w:val="8"/>
        <w:spacing w:before="93"/>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1" w:name="_Toc15377425"/>
      <w:bookmarkStart w:id="2" w:name="_Toc15396597"/>
      <w:bookmarkStart w:id="3" w:name="_Toc15377193"/>
      <w:bookmarkStart w:id="4" w:name="_Toc15378441"/>
      <w:bookmarkStart w:id="5" w:name="_Toc15396475"/>
      <w:r>
        <w:rPr>
          <w:rFonts w:hint="eastAsia" w:ascii="方正小标宋简体" w:hAnsi="方正小标宋简体" w:eastAsia="方正小标宋简体" w:cs="方正小标宋简体"/>
          <w:sz w:val="72"/>
          <w:szCs w:val="72"/>
        </w:rPr>
        <w:t>202</w:t>
      </w:r>
      <w:r>
        <w:rPr>
          <w:rFonts w:hint="eastAsia" w:ascii="方正小标宋简体" w:hAnsi="方正小标宋简体" w:eastAsia="方正小标宋简体" w:cs="方正小标宋简体"/>
          <w:sz w:val="72"/>
          <w:szCs w:val="72"/>
          <w:lang w:val="en-US" w:eastAsia="zh-CN"/>
        </w:rPr>
        <w:t>4</w:t>
      </w:r>
      <w:r>
        <w:rPr>
          <w:rFonts w:hint="eastAsia" w:ascii="方正小标宋简体" w:hAnsi="方正小标宋简体" w:eastAsia="方正小标宋简体" w:cs="方正小标宋简体"/>
          <w:sz w:val="72"/>
          <w:szCs w:val="72"/>
        </w:rPr>
        <w:t>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6" w:name="_Toc15396598"/>
      <w:bookmarkStart w:id="7" w:name="_Toc15377426"/>
      <w:bookmarkStart w:id="8" w:name="_Toc15378442"/>
      <w:bookmarkStart w:id="9" w:name="_Toc15396476"/>
      <w:bookmarkStart w:id="10" w:name="_Toc15377194"/>
      <w:r>
        <w:rPr>
          <w:rFonts w:hint="eastAsia" w:ascii="方正小标宋简体" w:hAnsi="方正小标宋简体" w:eastAsia="方正小标宋简体" w:cs="方正小标宋简体"/>
          <w:sz w:val="72"/>
          <w:szCs w:val="72"/>
        </w:rPr>
        <w:t>四川省</w:t>
      </w:r>
      <w:bookmarkEnd w:id="0"/>
      <w:bookmarkStart w:id="11" w:name="_Toc15306268"/>
      <w:r>
        <w:rPr>
          <w:rFonts w:hint="eastAsia" w:ascii="方正小标宋简体" w:hAnsi="方正小标宋简体" w:eastAsia="方正小标宋简体" w:cs="方正小标宋简体"/>
          <w:sz w:val="72"/>
          <w:szCs w:val="72"/>
          <w:lang w:eastAsia="zh-CN"/>
        </w:rPr>
        <w:t>五通桥区住房和城乡建设局环境卫生管理所</w:t>
      </w:r>
      <w:r>
        <w:rPr>
          <w:rFonts w:hint="eastAsia" w:ascii="方正小标宋简体" w:hAnsi="方正小标宋简体" w:eastAsia="方正小标宋简体" w:cs="方正小标宋简体"/>
          <w:sz w:val="72"/>
          <w:szCs w:val="72"/>
        </w:rPr>
        <w:t>单位决算</w:t>
      </w:r>
      <w:bookmarkEnd w:id="6"/>
      <w:bookmarkEnd w:id="7"/>
      <w:bookmarkEnd w:id="8"/>
      <w:bookmarkEnd w:id="9"/>
      <w:bookmarkEnd w:id="10"/>
      <w:bookmarkEnd w:id="11"/>
    </w:p>
    <w:p>
      <w:pPr>
        <w:adjustRightInd w:val="0"/>
        <w:snapToGrid w:val="0"/>
        <w:spacing w:line="360" w:lineRule="auto"/>
        <w:jc w:val="center"/>
        <w:outlineLvl w:val="0"/>
        <w:rPr>
          <w:rFonts w:ascii="方正小标宋简体" w:hAnsi="宋体" w:eastAsia="方正小标宋简体"/>
          <w:sz w:val="52"/>
          <w:szCs w:val="52"/>
        </w:rPr>
      </w:pPr>
      <w:r>
        <w:rPr>
          <w:rFonts w:hint="eastAsia" w:ascii="方正小标宋简体" w:hAnsi="宋体" w:eastAsia="方正小标宋简体"/>
          <w:sz w:val="52"/>
          <w:szCs w:val="52"/>
        </w:rPr>
        <w:t>(</w:t>
      </w:r>
      <w:r>
        <w:rPr>
          <w:rFonts w:hint="eastAsia" w:ascii="方正小标宋简体" w:hAnsi="宋体" w:eastAsia="方正小标宋简体"/>
          <w:sz w:val="52"/>
          <w:szCs w:val="52"/>
          <w:lang w:eastAsia="zh-CN"/>
        </w:rPr>
        <w:t>五通桥区环卫所</w:t>
      </w:r>
      <w:r>
        <w:rPr>
          <w:rFonts w:hint="eastAsia" w:ascii="方正小标宋简体" w:hAnsi="宋体" w:eastAsia="方正小标宋简体"/>
          <w:sz w:val="52"/>
          <w:szCs w:val="52"/>
        </w:rPr>
        <w:t>)</w:t>
      </w:r>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3"/>
      </w:pPr>
      <w:r>
        <w:rPr>
          <w:rFonts w:hint="eastAsia"/>
        </w:rPr>
        <w:t>公开时间：202</w:t>
      </w:r>
      <w:r>
        <w:rPr>
          <w:rFonts w:hint="eastAsia"/>
          <w:lang w:val="en-US" w:eastAsia="zh-CN"/>
        </w:rPr>
        <w:t>5</w:t>
      </w:r>
      <w:r>
        <w:rPr>
          <w:rFonts w:hint="eastAsia"/>
        </w:rPr>
        <w:t>年</w:t>
      </w:r>
      <w:r>
        <w:rPr>
          <w:rFonts w:hint="eastAsia"/>
          <w:lang w:val="en-US" w:eastAsia="zh-CN"/>
        </w:rPr>
        <w:t>10</w:t>
      </w:r>
      <w:r>
        <w:rPr>
          <w:rFonts w:hint="eastAsia"/>
        </w:rPr>
        <w:t>月</w:t>
      </w:r>
      <w:r>
        <w:rPr>
          <w:rFonts w:hint="eastAsia"/>
          <w:lang w:val="en-US" w:eastAsia="zh-CN"/>
        </w:rPr>
        <w:t>27</w:t>
      </w:r>
      <w:r>
        <w:rPr>
          <w:rFonts w:hint="eastAsia"/>
        </w:rPr>
        <w:t>日</w:t>
      </w:r>
    </w:p>
    <w:p/>
    <w:p>
      <w:pPr>
        <w:pStyle w:val="13"/>
        <w:adjustRightInd w:val="0"/>
        <w:snapToGrid w:val="0"/>
        <w:spacing w:before="0" w:line="440" w:lineRule="exact"/>
        <w:jc w:val="left"/>
        <w:rPr>
          <w:rFonts w:hint="default" w:eastAsia="仿宋" w:cstheme="minorBidi"/>
          <w:sz w:val="24"/>
          <w:szCs w:val="24"/>
          <w:lang w:val="en-US" w:eastAsia="zh-CN"/>
        </w:rPr>
      </w:pPr>
      <w:r>
        <w:rPr>
          <w:rFonts w:hint="eastAsia"/>
          <w:sz w:val="24"/>
        </w:rPr>
        <w:t>第一部分</w:t>
      </w:r>
      <w:r>
        <w:rPr>
          <w:sz w:val="24"/>
        </w:rPr>
        <w:t xml:space="preserve"> </w:t>
      </w:r>
      <w:r>
        <w:rPr>
          <w:rFonts w:hint="eastAsia"/>
          <w:sz w:val="24"/>
        </w:rPr>
        <w:t>单位概况</w:t>
      </w:r>
    </w:p>
    <w:p>
      <w:pPr>
        <w:pStyle w:val="14"/>
        <w:adjustRightInd w:val="0"/>
        <w:snapToGrid w:val="0"/>
        <w:spacing w:line="440" w:lineRule="exact"/>
        <w:jc w:val="left"/>
        <w:rPr>
          <w:rFonts w:hint="default" w:eastAsia="宋体"/>
          <w:sz w:val="24"/>
          <w:lang w:val="en-US" w:eastAsia="zh-CN"/>
        </w:rPr>
      </w:pPr>
      <w:r>
        <w:rPr>
          <w:rFonts w:hint="eastAsia"/>
          <w:sz w:val="24"/>
        </w:rPr>
        <w:t>一、主要职责</w:t>
      </w:r>
      <w:r>
        <w:rPr>
          <w:rFonts w:hint="eastAsia"/>
          <w:sz w:val="24"/>
          <w:lang w:val="en-US" w:eastAsia="zh-CN"/>
        </w:rPr>
        <w:t>........................................................................................................4</w:t>
      </w:r>
    </w:p>
    <w:p>
      <w:pPr>
        <w:pStyle w:val="14"/>
        <w:adjustRightInd w:val="0"/>
        <w:snapToGrid w:val="0"/>
        <w:spacing w:line="440" w:lineRule="exact"/>
        <w:jc w:val="left"/>
        <w:rPr>
          <w:rFonts w:hint="default" w:eastAsia="宋体"/>
          <w:lang w:val="en-US" w:eastAsia="zh-CN"/>
        </w:rPr>
      </w:pPr>
      <w:r>
        <w:rPr>
          <w:rFonts w:hint="eastAsia"/>
          <w:sz w:val="24"/>
        </w:rPr>
        <w:t>二、机构设置</w:t>
      </w:r>
      <w:r>
        <w:rPr>
          <w:rFonts w:hint="eastAsia"/>
          <w:sz w:val="24"/>
          <w:lang w:val="en-US" w:eastAsia="zh-CN"/>
        </w:rPr>
        <w:t>........................................................................................................4</w:t>
      </w:r>
    </w:p>
    <w:p>
      <w:pPr>
        <w:pStyle w:val="13"/>
        <w:adjustRightInd w:val="0"/>
        <w:snapToGrid w:val="0"/>
        <w:spacing w:before="0" w:line="440" w:lineRule="exact"/>
        <w:jc w:val="left"/>
        <w:rPr>
          <w:sz w:val="24"/>
          <w:szCs w:val="24"/>
        </w:rPr>
      </w:pPr>
      <w:r>
        <w:rPr>
          <w:rFonts w:hint="eastAsia"/>
          <w:sz w:val="24"/>
        </w:rPr>
        <w:t>第二部分 202</w:t>
      </w:r>
      <w:r>
        <w:rPr>
          <w:rFonts w:hint="eastAsia"/>
          <w:sz w:val="24"/>
          <w:lang w:val="en-US" w:eastAsia="zh-CN"/>
        </w:rPr>
        <w:t>4</w:t>
      </w:r>
      <w:r>
        <w:rPr>
          <w:rFonts w:hint="eastAsia"/>
          <w:sz w:val="24"/>
        </w:rPr>
        <w:t>年度单位决算情况说明</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一、收入支出决算总体情况说明</w:t>
      </w:r>
      <w:r>
        <w:rPr>
          <w:rFonts w:hint="eastAsia"/>
          <w:sz w:val="24"/>
          <w:lang w:val="en-US" w:eastAsia="zh-CN"/>
        </w:rPr>
        <w:t>......................................................................4-5</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二、收入决算情况说明</w:t>
      </w:r>
      <w:r>
        <w:rPr>
          <w:rFonts w:hint="eastAsia"/>
          <w:sz w:val="24"/>
          <w:lang w:val="en-US" w:eastAsia="zh-CN"/>
        </w:rPr>
        <w:t>.........................................................................................5</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三、支出决算情况说明</w:t>
      </w:r>
      <w:r>
        <w:rPr>
          <w:rFonts w:hint="eastAsia"/>
          <w:sz w:val="24"/>
          <w:lang w:val="en-US" w:eastAsia="zh-CN"/>
        </w:rPr>
        <w:t>.........................................................................................6</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四、财政拨款收入支出决算总体情况说明</w:t>
      </w:r>
      <w:r>
        <w:rPr>
          <w:rFonts w:hint="eastAsia"/>
          <w:sz w:val="24"/>
          <w:lang w:val="en-US" w:eastAsia="zh-CN"/>
        </w:rPr>
        <w:t>......................................................7</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五、一般公共预算财政拨款支出决算情况说明</w:t>
      </w:r>
      <w:r>
        <w:rPr>
          <w:rFonts w:hint="eastAsia"/>
          <w:sz w:val="24"/>
          <w:lang w:val="en-US" w:eastAsia="zh-CN"/>
        </w:rPr>
        <w:t>............................................7-11</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六、一般公共预算财政拨款基本支出决算情况说明</w:t>
      </w:r>
      <w:r>
        <w:rPr>
          <w:rFonts w:hint="eastAsia"/>
          <w:sz w:val="24"/>
          <w:lang w:val="en-US" w:eastAsia="zh-CN"/>
        </w:rPr>
        <w:t>....................................11-12</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七、财政拨款“三公”经费支出决算情况说明</w:t>
      </w:r>
      <w:r>
        <w:rPr>
          <w:rFonts w:hint="eastAsia"/>
          <w:sz w:val="24"/>
          <w:lang w:val="en-US" w:eastAsia="zh-CN"/>
        </w:rPr>
        <w:t>...........................................12-14</w:t>
      </w:r>
    </w:p>
    <w:p>
      <w:pPr>
        <w:pStyle w:val="14"/>
        <w:adjustRightInd w:val="0"/>
        <w:snapToGrid w:val="0"/>
        <w:spacing w:line="440" w:lineRule="exact"/>
        <w:jc w:val="left"/>
        <w:rPr>
          <w:rFonts w:hint="default" w:ascii="仿宋" w:hAnsi="仿宋" w:eastAsia="宋体" w:cstheme="minorBidi"/>
          <w:sz w:val="24"/>
          <w:lang w:val="en-US" w:eastAsia="zh-CN"/>
        </w:rPr>
      </w:pPr>
      <w:r>
        <w:rPr>
          <w:rFonts w:hint="eastAsia"/>
          <w:sz w:val="24"/>
        </w:rPr>
        <w:t>八、政府性基金预算支出决算情况说明</w:t>
      </w:r>
      <w:r>
        <w:rPr>
          <w:rFonts w:hint="eastAsia"/>
          <w:sz w:val="24"/>
          <w:lang w:val="en-US" w:eastAsia="zh-CN"/>
        </w:rPr>
        <w:t>............................................................14</w:t>
      </w:r>
    </w:p>
    <w:p>
      <w:pPr>
        <w:pStyle w:val="14"/>
        <w:adjustRightInd w:val="0"/>
        <w:snapToGrid w:val="0"/>
        <w:spacing w:line="440" w:lineRule="exact"/>
        <w:jc w:val="left"/>
        <w:rPr>
          <w:rFonts w:hint="default" w:eastAsia="宋体"/>
          <w:sz w:val="24"/>
          <w:lang w:val="en-US" w:eastAsia="zh-CN"/>
        </w:rPr>
      </w:pPr>
      <w:r>
        <w:rPr>
          <w:rFonts w:hint="eastAsia"/>
          <w:sz w:val="24"/>
        </w:rPr>
        <w:t>九、国有资本经营预算支出决算情况说明</w:t>
      </w:r>
      <w:r>
        <w:rPr>
          <w:rFonts w:hint="eastAsia"/>
          <w:sz w:val="24"/>
          <w:lang w:val="en-US" w:eastAsia="zh-CN"/>
        </w:rPr>
        <w:t>........................................................14</w:t>
      </w:r>
    </w:p>
    <w:p>
      <w:pPr>
        <w:pStyle w:val="14"/>
        <w:adjustRightInd w:val="0"/>
        <w:snapToGrid w:val="0"/>
        <w:spacing w:line="440" w:lineRule="exact"/>
        <w:jc w:val="left"/>
        <w:rPr>
          <w:rFonts w:hint="default" w:eastAsia="宋体"/>
          <w:sz w:val="24"/>
          <w:lang w:val="en-US" w:eastAsia="zh-CN"/>
        </w:rPr>
      </w:pPr>
      <w:r>
        <w:rPr>
          <w:rFonts w:hint="eastAsia"/>
          <w:sz w:val="24"/>
        </w:rPr>
        <w:t>十、其他重要事项的情况说明</w:t>
      </w:r>
      <w:r>
        <w:rPr>
          <w:rFonts w:hint="eastAsia"/>
          <w:sz w:val="24"/>
          <w:lang w:val="en-US" w:eastAsia="zh-CN"/>
        </w:rPr>
        <w:t>.......................................................................14-16</w:t>
      </w:r>
    </w:p>
    <w:p>
      <w:pPr>
        <w:pStyle w:val="13"/>
        <w:adjustRightInd w:val="0"/>
        <w:snapToGrid w:val="0"/>
        <w:spacing w:before="0" w:line="440" w:lineRule="exact"/>
        <w:jc w:val="left"/>
        <w:rPr>
          <w:rFonts w:hint="default" w:eastAsia="仿宋" w:cstheme="minorBidi"/>
          <w:sz w:val="24"/>
          <w:szCs w:val="24"/>
          <w:lang w:val="en-US" w:eastAsia="zh-CN"/>
        </w:rPr>
      </w:pPr>
      <w:r>
        <w:rPr>
          <w:rFonts w:hint="eastAsia"/>
          <w:sz w:val="24"/>
        </w:rPr>
        <w:t>第三部分</w:t>
      </w:r>
      <w:r>
        <w:rPr>
          <w:sz w:val="24"/>
        </w:rPr>
        <w:t xml:space="preserve"> </w:t>
      </w:r>
      <w:r>
        <w:rPr>
          <w:rFonts w:hint="eastAsia"/>
          <w:sz w:val="24"/>
        </w:rPr>
        <w:t>名词解释</w:t>
      </w:r>
      <w:r>
        <w:rPr>
          <w:rFonts w:hint="eastAsia"/>
          <w:sz w:val="24"/>
          <w:lang w:val="en-US" w:eastAsia="zh-CN"/>
        </w:rPr>
        <w:t>...............................................17-19</w:t>
      </w:r>
    </w:p>
    <w:p>
      <w:pPr>
        <w:pStyle w:val="13"/>
        <w:adjustRightInd w:val="0"/>
        <w:snapToGrid w:val="0"/>
        <w:spacing w:before="0" w:line="440" w:lineRule="exact"/>
        <w:jc w:val="left"/>
        <w:rPr>
          <w:rFonts w:hint="default" w:eastAsia="仿宋" w:cstheme="minorBidi"/>
          <w:sz w:val="24"/>
          <w:szCs w:val="24"/>
          <w:lang w:val="en-US" w:eastAsia="zh-CN"/>
        </w:rPr>
      </w:pPr>
      <w:r>
        <w:rPr>
          <w:rFonts w:hint="eastAsia"/>
          <w:sz w:val="24"/>
        </w:rPr>
        <w:t>第四部分</w:t>
      </w:r>
      <w:r>
        <w:rPr>
          <w:sz w:val="24"/>
        </w:rPr>
        <w:t xml:space="preserve"> </w:t>
      </w:r>
      <w:r>
        <w:rPr>
          <w:rFonts w:hint="eastAsia"/>
          <w:sz w:val="24"/>
        </w:rPr>
        <w:t>附件</w:t>
      </w:r>
      <w:r>
        <w:rPr>
          <w:rFonts w:hint="eastAsia"/>
          <w:sz w:val="24"/>
          <w:lang w:val="en-US" w:eastAsia="zh-CN"/>
        </w:rPr>
        <w:t>......................................................20</w:t>
      </w:r>
    </w:p>
    <w:p>
      <w:pPr>
        <w:pStyle w:val="13"/>
        <w:adjustRightInd w:val="0"/>
        <w:snapToGrid w:val="0"/>
        <w:spacing w:before="0" w:line="440" w:lineRule="exact"/>
        <w:jc w:val="left"/>
        <w:rPr>
          <w:rFonts w:hint="default" w:eastAsia="仿宋" w:cstheme="minorBidi"/>
          <w:sz w:val="24"/>
          <w:szCs w:val="24"/>
          <w:lang w:val="en-US" w:eastAsia="zh-CN"/>
        </w:rPr>
      </w:pPr>
      <w:r>
        <w:rPr>
          <w:rFonts w:hint="eastAsia"/>
          <w:sz w:val="24"/>
        </w:rPr>
        <w:t>第五部分</w:t>
      </w:r>
      <w:r>
        <w:rPr>
          <w:sz w:val="24"/>
        </w:rPr>
        <w:t xml:space="preserve"> </w:t>
      </w:r>
      <w:r>
        <w:rPr>
          <w:rFonts w:hint="eastAsia"/>
          <w:sz w:val="24"/>
        </w:rPr>
        <w:t>附表</w:t>
      </w:r>
      <w:r>
        <w:rPr>
          <w:rFonts w:hint="eastAsia"/>
          <w:sz w:val="24"/>
          <w:lang w:val="en-US" w:eastAsia="zh-CN"/>
        </w:rPr>
        <w:t>......................................................21</w:t>
      </w:r>
    </w:p>
    <w:p>
      <w:pPr>
        <w:pStyle w:val="14"/>
        <w:adjustRightInd w:val="0"/>
        <w:snapToGrid w:val="0"/>
        <w:spacing w:line="440" w:lineRule="exact"/>
        <w:jc w:val="left"/>
        <w:rPr>
          <w:sz w:val="24"/>
        </w:rPr>
      </w:pPr>
      <w:r>
        <w:rPr>
          <w:rFonts w:hint="eastAsia"/>
          <w:sz w:val="24"/>
        </w:rPr>
        <w:t>一、收入支出决算总表</w:t>
      </w:r>
    </w:p>
    <w:p>
      <w:pPr>
        <w:pStyle w:val="14"/>
        <w:adjustRightInd w:val="0"/>
        <w:snapToGrid w:val="0"/>
        <w:spacing w:line="440" w:lineRule="exact"/>
        <w:jc w:val="left"/>
        <w:rPr>
          <w:sz w:val="24"/>
        </w:rPr>
      </w:pPr>
      <w:r>
        <w:rPr>
          <w:rFonts w:hint="eastAsia"/>
          <w:sz w:val="24"/>
        </w:rPr>
        <w:t>二、收入决算表</w:t>
      </w:r>
    </w:p>
    <w:p>
      <w:pPr>
        <w:pStyle w:val="14"/>
        <w:adjustRightInd w:val="0"/>
        <w:snapToGrid w:val="0"/>
        <w:spacing w:line="440" w:lineRule="exact"/>
        <w:jc w:val="left"/>
        <w:rPr>
          <w:sz w:val="24"/>
        </w:rPr>
      </w:pPr>
      <w:r>
        <w:rPr>
          <w:rFonts w:hint="eastAsia"/>
          <w:sz w:val="24"/>
        </w:rPr>
        <w:t>三、支出决算表</w:t>
      </w:r>
    </w:p>
    <w:p>
      <w:pPr>
        <w:pStyle w:val="14"/>
        <w:adjustRightInd w:val="0"/>
        <w:snapToGrid w:val="0"/>
        <w:spacing w:line="440" w:lineRule="exact"/>
        <w:jc w:val="left"/>
        <w:rPr>
          <w:sz w:val="24"/>
        </w:rPr>
      </w:pPr>
      <w:r>
        <w:rPr>
          <w:rFonts w:hint="eastAsia"/>
          <w:sz w:val="24"/>
        </w:rPr>
        <w:t>四、财政拨款收入支出决算总表</w:t>
      </w:r>
    </w:p>
    <w:p>
      <w:pPr>
        <w:pStyle w:val="14"/>
        <w:adjustRightInd w:val="0"/>
        <w:snapToGrid w:val="0"/>
        <w:spacing w:line="440" w:lineRule="exact"/>
        <w:jc w:val="left"/>
        <w:rPr>
          <w:sz w:val="24"/>
        </w:rPr>
      </w:pPr>
      <w:r>
        <w:rPr>
          <w:rFonts w:hint="eastAsia"/>
          <w:sz w:val="24"/>
        </w:rPr>
        <w:t>五、财政拨款支出决算明细表</w:t>
      </w:r>
    </w:p>
    <w:p>
      <w:pPr>
        <w:pStyle w:val="14"/>
        <w:adjustRightInd w:val="0"/>
        <w:snapToGrid w:val="0"/>
        <w:spacing w:line="440" w:lineRule="exact"/>
        <w:jc w:val="left"/>
        <w:rPr>
          <w:sz w:val="24"/>
        </w:rPr>
      </w:pPr>
      <w:r>
        <w:rPr>
          <w:rFonts w:hint="eastAsia"/>
          <w:sz w:val="24"/>
        </w:rPr>
        <w:t>六、一般公共预算财政拨款支出决算表</w:t>
      </w:r>
    </w:p>
    <w:p>
      <w:pPr>
        <w:pStyle w:val="14"/>
        <w:adjustRightInd w:val="0"/>
        <w:snapToGrid w:val="0"/>
        <w:spacing w:line="440" w:lineRule="exact"/>
        <w:jc w:val="left"/>
        <w:rPr>
          <w:sz w:val="24"/>
        </w:rPr>
      </w:pPr>
      <w:r>
        <w:rPr>
          <w:rFonts w:hint="eastAsia"/>
          <w:sz w:val="24"/>
        </w:rPr>
        <w:t>七、一般公共预算财政拨款支出决算明细表</w:t>
      </w:r>
    </w:p>
    <w:p>
      <w:pPr>
        <w:pStyle w:val="14"/>
        <w:adjustRightInd w:val="0"/>
        <w:snapToGrid w:val="0"/>
        <w:spacing w:line="440" w:lineRule="exact"/>
        <w:jc w:val="left"/>
        <w:rPr>
          <w:sz w:val="24"/>
        </w:rPr>
      </w:pPr>
      <w:r>
        <w:rPr>
          <w:rFonts w:hint="eastAsia"/>
          <w:sz w:val="24"/>
        </w:rPr>
        <w:t>八、一般公共预算财政拨款基本支出决算明细表</w:t>
      </w:r>
    </w:p>
    <w:p>
      <w:pPr>
        <w:pStyle w:val="14"/>
        <w:adjustRightInd w:val="0"/>
        <w:snapToGrid w:val="0"/>
        <w:spacing w:line="440" w:lineRule="exact"/>
        <w:jc w:val="left"/>
        <w:rPr>
          <w:sz w:val="24"/>
        </w:rPr>
      </w:pPr>
      <w:r>
        <w:rPr>
          <w:rFonts w:hint="eastAsia"/>
          <w:sz w:val="24"/>
        </w:rPr>
        <w:t>九、一般公共预算财政拨款项目支出决算表</w:t>
      </w:r>
    </w:p>
    <w:p>
      <w:pPr>
        <w:pStyle w:val="14"/>
        <w:adjustRightInd w:val="0"/>
        <w:snapToGrid w:val="0"/>
        <w:spacing w:line="440" w:lineRule="exact"/>
        <w:jc w:val="left"/>
        <w:rPr>
          <w:sz w:val="24"/>
        </w:rPr>
      </w:pPr>
      <w:r>
        <w:rPr>
          <w:rFonts w:hint="eastAsia"/>
          <w:sz w:val="24"/>
        </w:rPr>
        <w:t>十、政府性基金预算财政拨款收入支出决算表</w:t>
      </w:r>
    </w:p>
    <w:p>
      <w:pPr>
        <w:pStyle w:val="14"/>
        <w:adjustRightInd w:val="0"/>
        <w:snapToGrid w:val="0"/>
        <w:spacing w:line="440" w:lineRule="exact"/>
        <w:jc w:val="left"/>
        <w:rPr>
          <w:sz w:val="24"/>
        </w:rPr>
      </w:pPr>
      <w:r>
        <w:rPr>
          <w:rFonts w:hint="eastAsia"/>
          <w:sz w:val="24"/>
        </w:rPr>
        <w:t>十一、国有资本经营预算财政拨款收入支出决算表</w:t>
      </w:r>
    </w:p>
    <w:p>
      <w:pPr>
        <w:pStyle w:val="14"/>
        <w:adjustRightInd w:val="0"/>
        <w:snapToGrid w:val="0"/>
        <w:spacing w:line="440" w:lineRule="exact"/>
        <w:jc w:val="left"/>
        <w:rPr>
          <w:sz w:val="24"/>
        </w:rPr>
      </w:pPr>
      <w:r>
        <w:rPr>
          <w:rFonts w:hint="eastAsia"/>
          <w:sz w:val="24"/>
        </w:rPr>
        <w:t>十二、国有资本经营预算财政拨款支出决算表</w:t>
      </w:r>
    </w:p>
    <w:p>
      <w:pPr>
        <w:pStyle w:val="14"/>
        <w:adjustRightInd w:val="0"/>
        <w:snapToGrid w:val="0"/>
        <w:spacing w:line="440" w:lineRule="exact"/>
        <w:jc w:val="left"/>
        <w:rPr>
          <w:sz w:val="24"/>
        </w:rPr>
      </w:pPr>
      <w:r>
        <w:rPr>
          <w:rFonts w:hint="eastAsia"/>
          <w:sz w:val="24"/>
        </w:rPr>
        <w:t>十三、财政拨款“三公”经费支出决算表</w:t>
      </w:r>
    </w:p>
    <w:p>
      <w:pPr>
        <w:widowControl/>
        <w:adjustRightInd w:val="0"/>
        <w:snapToGrid w:val="0"/>
        <w:spacing w:line="440" w:lineRule="exact"/>
        <w:ind w:firstLine="1320" w:firstLineChars="550"/>
        <w:jc w:val="left"/>
        <w:rPr>
          <w:rFonts w:ascii="仿宋" w:hAnsi="仿宋" w:eastAsia="仿宋"/>
          <w:sz w:val="24"/>
        </w:rPr>
      </w:pPr>
      <w:r>
        <w:rPr>
          <w:rFonts w:ascii="仿宋" w:hAnsi="仿宋" w:eastAsia="仿宋"/>
          <w:sz w:val="24"/>
        </w:rPr>
        <w:t>(注：</w:t>
      </w:r>
      <w:r>
        <w:rPr>
          <w:rFonts w:hint="eastAsia" w:ascii="仿宋" w:hAnsi="仿宋" w:eastAsia="仿宋"/>
          <w:sz w:val="24"/>
        </w:rPr>
        <w:t>请单位根据实际注明页码</w:t>
      </w:r>
      <w:r>
        <w:rPr>
          <w:rFonts w:ascii="仿宋" w:hAnsi="仿宋" w:eastAsia="仿宋"/>
          <w:sz w:val="24"/>
        </w:rPr>
        <w:t>)</w:t>
      </w:r>
    </w:p>
    <w:p>
      <w:pPr>
        <w:widowControl/>
        <w:spacing w:line="440" w:lineRule="exact"/>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5"/>
        <w:jc w:val="center"/>
        <w:rPr>
          <w:rStyle w:val="28"/>
          <w:rFonts w:ascii="黑体" w:hAnsi="黑体" w:eastAsia="黑体"/>
          <w:b/>
          <w:bCs w:val="0"/>
        </w:rPr>
      </w:pPr>
      <w:r>
        <w:rPr>
          <w:rFonts w:hint="eastAsia" w:ascii="黑体" w:hAnsi="黑体" w:eastAsia="黑体"/>
          <w:b w:val="0"/>
        </w:rPr>
        <w:t>第一部分 单位</w:t>
      </w:r>
      <w:r>
        <w:rPr>
          <w:rStyle w:val="28"/>
          <w:rFonts w:hint="eastAsia" w:ascii="黑体" w:hAnsi="黑体" w:eastAsia="黑体"/>
          <w:b w:val="0"/>
          <w:bCs w:val="0"/>
        </w:rPr>
        <w:t>概况</w:t>
      </w:r>
      <w:bookmarkEnd w:id="12"/>
      <w:bookmarkEnd w:id="13"/>
    </w:p>
    <w:p>
      <w:pPr>
        <w:widowControl/>
        <w:jc w:val="left"/>
        <w:rPr>
          <w:rFonts w:ascii="黑体" w:eastAsia="黑体"/>
          <w:sz w:val="32"/>
          <w:szCs w:val="32"/>
        </w:rPr>
      </w:pPr>
    </w:p>
    <w:p>
      <w:pPr>
        <w:pStyle w:val="6"/>
        <w:numPr>
          <w:ilvl w:val="0"/>
          <w:numId w:val="1"/>
        </w:numPr>
        <w:rPr>
          <w:rStyle w:val="29"/>
          <w:rFonts w:ascii="黑体" w:hAnsi="黑体" w:eastAsia="黑体"/>
          <w:b w:val="0"/>
          <w:bCs w:val="0"/>
        </w:rPr>
      </w:pPr>
      <w:bookmarkStart w:id="14" w:name="_Toc15377197"/>
      <w:bookmarkStart w:id="15" w:name="_Toc15396600"/>
      <w:r>
        <w:rPr>
          <w:rStyle w:val="29"/>
          <w:rFonts w:hint="eastAsia" w:ascii="黑体" w:hAnsi="黑体" w:eastAsia="黑体"/>
          <w:b w:val="0"/>
          <w:bCs w:val="0"/>
        </w:rPr>
        <w:t>主要职责</w:t>
      </w:r>
    </w:p>
    <w:p>
      <w:pPr>
        <w:pStyle w:val="8"/>
        <w:ind w:firstLine="960" w:firstLineChars="300"/>
      </w:pPr>
      <w:r>
        <w:rPr>
          <w:rFonts w:hint="eastAsia" w:ascii="仿宋" w:hAnsi="仿宋" w:eastAsia="仿宋"/>
          <w:sz w:val="32"/>
          <w:szCs w:val="32"/>
        </w:rPr>
        <w:t>本单位职能主要：负责中心城区环境卫生日常管理工作，同时负责全区城市生活垃圾处理费征收工作,并指导和督促检查各镇(乡)环境卫生管理工作。承担中心城区主要街道约100万平方米的清扫保洁和涌斯江、茫溪河沿河两岸约30万平方米的保洁工作以及中心城区公厕、勾臂箱、果屑箱、垃圾桶等环卫设施的日常保洁管理和维护以及河东片区的垃圾清运工作和城乡环境整治工作以及中心工作等等。</w:t>
      </w:r>
    </w:p>
    <w:p>
      <w:pPr>
        <w:pStyle w:val="6"/>
        <w:rPr>
          <w:rFonts w:ascii="黑体" w:hAnsi="黑体" w:eastAsia="黑体"/>
          <w:b w:val="0"/>
        </w:rPr>
      </w:pPr>
      <w:r>
        <w:rPr>
          <w:rFonts w:hint="eastAsia" w:ascii="黑体" w:hAnsi="黑体" w:eastAsia="黑体"/>
          <w:b w:val="0"/>
        </w:rPr>
        <w:t>二、机构设置</w:t>
      </w:r>
    </w:p>
    <w:bookmarkEnd w:id="14"/>
    <w:bookmarkEnd w:id="15"/>
    <w:p>
      <w:pPr>
        <w:snapToGrid w:val="0"/>
        <w:spacing w:line="520" w:lineRule="exact"/>
        <w:ind w:firstLine="640" w:firstLineChars="200"/>
        <w:rPr>
          <w:rFonts w:hint="default" w:ascii="仿宋_GB2312" w:hAnsi="仿宋" w:eastAsia="仿宋_GB2312"/>
          <w:sz w:val="32"/>
          <w:szCs w:val="32"/>
          <w:lang w:val="en-US" w:eastAsia="zh-CN"/>
        </w:rPr>
      </w:pPr>
      <w:r>
        <w:rPr>
          <w:rFonts w:hint="eastAsia" w:ascii="仿宋" w:hAnsi="仿宋" w:eastAsia="仿宋"/>
          <w:sz w:val="32"/>
          <w:szCs w:val="32"/>
        </w:rPr>
        <w:t>环境卫生管理所是五通桥区住房和城乡建设局下属的财政全额拨款的事业单位，所内设置预算单位1个。下设：室所办公室、财务室、车队、环卫站共</w:t>
      </w:r>
      <w:r>
        <w:rPr>
          <w:rFonts w:hint="eastAsia" w:ascii="仿宋" w:hAnsi="仿宋" w:eastAsia="仿宋"/>
          <w:sz w:val="32"/>
          <w:szCs w:val="32"/>
          <w:lang w:val="en-US" w:eastAsia="zh-CN"/>
        </w:rPr>
        <w:t>4</w:t>
      </w:r>
      <w:r>
        <w:rPr>
          <w:rFonts w:hint="eastAsia" w:ascii="仿宋" w:hAnsi="仿宋" w:eastAsia="仿宋"/>
          <w:sz w:val="32"/>
          <w:szCs w:val="32"/>
        </w:rPr>
        <w:t>个内设机构。</w:t>
      </w:r>
    </w:p>
    <w:p>
      <w:pPr>
        <w:widowControl/>
        <w:jc w:val="left"/>
        <w:rPr>
          <w:rFonts w:ascii="仿宋" w:hAnsi="仿宋" w:eastAsia="仿宋"/>
          <w:kern w:val="0"/>
          <w:sz w:val="32"/>
          <w:szCs w:val="32"/>
        </w:rPr>
      </w:pPr>
    </w:p>
    <w:p>
      <w:pPr>
        <w:pStyle w:val="5"/>
        <w:ind w:right="440"/>
        <w:jc w:val="center"/>
        <w:rPr>
          <w:rStyle w:val="28"/>
          <w:rFonts w:ascii="黑体" w:hAnsi="黑体" w:eastAsia="黑体"/>
          <w:b w:val="0"/>
          <w:bCs/>
        </w:rPr>
      </w:pPr>
      <w:bookmarkStart w:id="16" w:name="_Toc15377204"/>
      <w:bookmarkStart w:id="17" w:name="_Toc15396602"/>
      <w:r>
        <w:rPr>
          <w:rFonts w:hint="eastAsia" w:ascii="黑体" w:hAnsi="黑体" w:eastAsia="黑体"/>
          <w:b w:val="0"/>
        </w:rPr>
        <w:t>第二部分 202</w:t>
      </w:r>
      <w:r>
        <w:rPr>
          <w:rFonts w:hint="eastAsia" w:ascii="黑体" w:hAnsi="黑体" w:eastAsia="黑体"/>
          <w:b w:val="0"/>
          <w:lang w:val="en-US" w:eastAsia="zh-CN"/>
        </w:rPr>
        <w:t>4</w:t>
      </w:r>
      <w:r>
        <w:rPr>
          <w:rFonts w:hint="eastAsia" w:ascii="黑体" w:hAnsi="黑体" w:eastAsia="黑体"/>
          <w:b w:val="0"/>
        </w:rPr>
        <w:t>年度</w:t>
      </w:r>
      <w:r>
        <w:rPr>
          <w:rStyle w:val="28"/>
          <w:rFonts w:hint="eastAsia" w:ascii="黑体" w:hAnsi="黑体" w:eastAsia="黑体"/>
          <w:b w:val="0"/>
          <w:bCs/>
        </w:rPr>
        <w:t>单位决算情况说明</w:t>
      </w:r>
      <w:bookmarkEnd w:id="16"/>
      <w:bookmarkEnd w:id="17"/>
    </w:p>
    <w:p/>
    <w:p>
      <w:pPr>
        <w:pStyle w:val="27"/>
        <w:numPr>
          <w:ilvl w:val="0"/>
          <w:numId w:val="2"/>
        </w:numPr>
        <w:spacing w:line="600" w:lineRule="exact"/>
        <w:ind w:firstLineChars="0"/>
        <w:outlineLvl w:val="1"/>
        <w:rPr>
          <w:rStyle w:val="29"/>
          <w:rFonts w:ascii="黑体" w:hAnsi="黑体" w:eastAsia="黑体"/>
          <w:b w:val="0"/>
        </w:rPr>
      </w:pPr>
      <w:bookmarkStart w:id="18" w:name="_Toc15396603"/>
      <w:bookmarkStart w:id="19" w:name="_Toc15377205"/>
      <w:r>
        <w:rPr>
          <w:rFonts w:hint="eastAsia" w:ascii="黑体" w:hAnsi="黑体" w:eastAsia="黑体"/>
          <w:sz w:val="32"/>
          <w:szCs w:val="32"/>
        </w:rPr>
        <w:t>收</w:t>
      </w:r>
      <w:r>
        <w:rPr>
          <w:rStyle w:val="29"/>
          <w:rFonts w:hint="eastAsia" w:ascii="黑体" w:hAnsi="黑体" w:eastAsia="黑体"/>
          <w:b w:val="0"/>
        </w:rPr>
        <w:t>入支出决算总体情况说明</w:t>
      </w:r>
      <w:bookmarkEnd w:id="18"/>
      <w:bookmarkEnd w:id="19"/>
    </w:p>
    <w:p>
      <w:pPr>
        <w:snapToGrid w:val="0"/>
        <w:spacing w:line="520" w:lineRule="exact"/>
        <w:ind w:firstLine="640" w:firstLineChars="200"/>
        <w:rPr>
          <w:rFonts w:ascii="仿宋" w:hAnsi="仿宋" w:eastAsia="仿宋"/>
          <w:sz w:val="32"/>
          <w:szCs w:val="32"/>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年度收、支总计均为</w:t>
      </w:r>
      <w:r>
        <w:rPr>
          <w:rFonts w:hint="eastAsia" w:ascii="仿宋_GB2312" w:hAnsi="仿宋_GB2312" w:eastAsia="仿宋_GB2312" w:cs="仿宋_GB2312"/>
          <w:sz w:val="32"/>
          <w:szCs w:val="32"/>
        </w:rPr>
        <w:t>2684.71</w:t>
      </w:r>
      <w:r>
        <w:rPr>
          <w:rFonts w:hint="eastAsia" w:ascii="仿宋" w:hAnsi="仿宋" w:eastAsia="仿宋"/>
          <w:sz w:val="32"/>
          <w:szCs w:val="32"/>
        </w:rPr>
        <w:t>万元。与202</w:t>
      </w:r>
      <w:r>
        <w:rPr>
          <w:rFonts w:hint="eastAsia" w:ascii="仿宋" w:hAnsi="仿宋" w:eastAsia="仿宋"/>
          <w:sz w:val="32"/>
          <w:szCs w:val="32"/>
          <w:lang w:val="en-US" w:eastAsia="zh-CN"/>
        </w:rPr>
        <w:t>3</w:t>
      </w:r>
      <w:r>
        <w:rPr>
          <w:rFonts w:hint="eastAsia" w:ascii="仿宋" w:hAnsi="仿宋" w:eastAsia="仿宋"/>
          <w:sz w:val="32"/>
          <w:szCs w:val="32"/>
        </w:rPr>
        <w:t>年度</w:t>
      </w:r>
      <w:r>
        <w:rPr>
          <w:rFonts w:hint="eastAsia" w:ascii="仿宋_GB2312" w:hAnsi="仿宋" w:eastAsia="仿宋_GB2312"/>
          <w:sz w:val="32"/>
          <w:szCs w:val="32"/>
          <w:lang w:val="en-US" w:eastAsia="zh-CN"/>
        </w:rPr>
        <w:t>2658.88</w:t>
      </w:r>
      <w:r>
        <w:rPr>
          <w:rFonts w:hint="eastAsia" w:ascii="仿宋_GB2312" w:hAnsi="仿宋" w:eastAsia="仿宋_GB2312"/>
          <w:sz w:val="32"/>
          <w:szCs w:val="32"/>
        </w:rPr>
        <w:t>元</w:t>
      </w:r>
      <w:r>
        <w:rPr>
          <w:rFonts w:hint="eastAsia" w:ascii="仿宋" w:hAnsi="仿宋" w:eastAsia="仿宋"/>
          <w:sz w:val="32"/>
          <w:szCs w:val="32"/>
        </w:rPr>
        <w:t>相比，收、支总计各增加</w:t>
      </w:r>
      <w:r>
        <w:rPr>
          <w:rFonts w:hint="eastAsia" w:ascii="仿宋_GB2312" w:hAnsi="仿宋" w:eastAsia="仿宋_GB2312"/>
          <w:sz w:val="32"/>
          <w:szCs w:val="32"/>
          <w:lang w:val="en-US" w:eastAsia="zh-CN"/>
        </w:rPr>
        <w:t>25.83</w:t>
      </w:r>
      <w:r>
        <w:rPr>
          <w:rFonts w:hint="eastAsia" w:ascii="仿宋" w:hAnsi="仿宋" w:eastAsia="仿宋"/>
          <w:sz w:val="32"/>
          <w:szCs w:val="32"/>
        </w:rPr>
        <w:t>万元，增长</w:t>
      </w:r>
      <w:r>
        <w:rPr>
          <w:rFonts w:hint="eastAsia" w:ascii="仿宋_GB2312" w:hAnsi="仿宋" w:eastAsia="仿宋_GB2312"/>
          <w:sz w:val="32"/>
          <w:szCs w:val="32"/>
          <w:lang w:val="en-US" w:eastAsia="zh-CN"/>
        </w:rPr>
        <w:t>0.9</w:t>
      </w:r>
      <w:r>
        <w:rPr>
          <w:rFonts w:ascii="仿宋" w:hAnsi="仿宋" w:eastAsia="仿宋"/>
          <w:sz w:val="32"/>
          <w:szCs w:val="32"/>
        </w:rPr>
        <w:t>%</w:t>
      </w:r>
      <w:r>
        <w:rPr>
          <w:rFonts w:hint="eastAsia" w:ascii="仿宋" w:hAnsi="仿宋" w:eastAsia="仿宋"/>
          <w:sz w:val="32"/>
          <w:szCs w:val="32"/>
        </w:rPr>
        <w:t>。主要变动原因是主要变动原因是</w:t>
      </w:r>
      <w:r>
        <w:rPr>
          <w:rFonts w:hint="eastAsia" w:ascii="仿宋" w:hAnsi="仿宋" w:eastAsia="仿宋"/>
          <w:sz w:val="32"/>
          <w:szCs w:val="32"/>
          <w:lang w:val="en-US" w:eastAsia="zh-CN"/>
        </w:rPr>
        <w:t>213线和国道清扫路面由环卫所接管后，人员开支和清扫保洁工具费用增加。</w:t>
      </w:r>
      <w:r>
        <w:rPr>
          <w:rFonts w:hint="eastAsia" w:ascii="仿宋_GB2312" w:hAnsi="仿宋" w:eastAsia="仿宋_GB2312"/>
          <w:sz w:val="32"/>
          <w:szCs w:val="32"/>
        </w:rPr>
        <w:t>为我单位维护城区环境干净、整洁的工作提供了保障，从而使我单位的各项工作能够顺利进行</w:t>
      </w:r>
      <w:r>
        <w:rPr>
          <w:rFonts w:hint="eastAsia" w:ascii="仿宋" w:hAnsi="仿宋" w:eastAsia="仿宋"/>
          <w:sz w:val="32"/>
          <w:szCs w:val="32"/>
        </w:rPr>
        <w:t>。</w:t>
      </w:r>
    </w:p>
    <w:p>
      <w:pPr>
        <w:spacing w:line="240" w:lineRule="auto"/>
        <w:ind w:firstLine="640" w:firstLineChars="200"/>
        <w:rPr>
          <w:rFonts w:hint="eastAsia" w:ascii="仿宋" w:hAnsi="仿宋" w:eastAsia="仿宋"/>
          <w:sz w:val="32"/>
          <w:szCs w:val="32"/>
          <w:lang w:eastAsia="zh-CN"/>
        </w:rPr>
      </w:pPr>
      <w:r>
        <w:rPr>
          <w:rFonts w:hint="eastAsia" w:ascii="仿宋" w:hAnsi="仿宋" w:eastAsia="仿宋"/>
          <w:sz w:val="32"/>
          <w:szCs w:val="32"/>
        </w:rPr>
        <w:t>（图</w:t>
      </w:r>
      <w:r>
        <w:rPr>
          <w:rFonts w:ascii="仿宋" w:hAnsi="仿宋" w:eastAsia="仿宋"/>
          <w:sz w:val="32"/>
          <w:szCs w:val="32"/>
        </w:rPr>
        <w:t>1</w:t>
      </w:r>
      <w:r>
        <w:rPr>
          <w:rFonts w:hint="eastAsia" w:ascii="仿宋" w:hAnsi="仿宋" w:eastAsia="仿宋"/>
          <w:sz w:val="32"/>
          <w:szCs w:val="32"/>
        </w:rPr>
        <w:t>：收、支决算总计变动情况图）（柱状图）</w:t>
      </w:r>
      <w:r>
        <w:rPr>
          <w:rFonts w:hint="eastAsia" w:ascii="仿宋" w:hAnsi="仿宋" w:eastAsia="仿宋"/>
          <w:sz w:val="32"/>
          <w:szCs w:val="32"/>
          <w:lang w:eastAsia="zh-CN"/>
        </w:rPr>
        <w:drawing>
          <wp:inline distT="0" distB="0" distL="114300" distR="114300">
            <wp:extent cx="4584065" cy="2419985"/>
            <wp:effectExtent l="0" t="0" r="3175" b="3175"/>
            <wp:docPr id="7" name="图片 7" descr="收、支决算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收、支决算图"/>
                    <pic:cNvPicPr>
                      <a:picLocks noChangeAspect="1"/>
                    </pic:cNvPicPr>
                  </pic:nvPicPr>
                  <pic:blipFill>
                    <a:blip r:embed="rId6"/>
                    <a:stretch>
                      <a:fillRect/>
                    </a:stretch>
                  </pic:blipFill>
                  <pic:spPr>
                    <a:xfrm>
                      <a:off x="0" y="0"/>
                      <a:ext cx="4584065" cy="2419985"/>
                    </a:xfrm>
                    <a:prstGeom prst="rect">
                      <a:avLst/>
                    </a:prstGeom>
                  </pic:spPr>
                </pic:pic>
              </a:graphicData>
            </a:graphic>
          </wp:inline>
        </w:drawing>
      </w:r>
    </w:p>
    <w:p>
      <w:pPr>
        <w:spacing w:line="600" w:lineRule="exact"/>
        <w:ind w:firstLine="640" w:firstLineChars="200"/>
        <w:jc w:val="left"/>
        <w:rPr>
          <w:rFonts w:ascii="仿宋_GB2312" w:eastAsia="仿宋_GB2312"/>
          <w:sz w:val="32"/>
          <w:szCs w:val="32"/>
        </w:rPr>
      </w:pPr>
    </w:p>
    <w:p>
      <w:pPr>
        <w:pStyle w:val="27"/>
        <w:numPr>
          <w:ilvl w:val="0"/>
          <w:numId w:val="2"/>
        </w:numPr>
        <w:spacing w:line="600" w:lineRule="exact"/>
        <w:ind w:firstLineChars="0"/>
        <w:outlineLvl w:val="1"/>
        <w:rPr>
          <w:rStyle w:val="29"/>
          <w:rFonts w:ascii="黑体" w:hAnsi="黑体" w:eastAsia="黑体"/>
          <w:b w:val="0"/>
        </w:rPr>
      </w:pPr>
      <w:bookmarkStart w:id="20" w:name="_Toc15377206"/>
      <w:bookmarkStart w:id="21" w:name="_Toc15396604"/>
      <w:r>
        <w:rPr>
          <w:rFonts w:hint="eastAsia" w:ascii="黑体" w:hAnsi="黑体" w:eastAsia="黑体"/>
          <w:sz w:val="32"/>
          <w:szCs w:val="32"/>
        </w:rPr>
        <w:t>收</w:t>
      </w:r>
      <w:r>
        <w:rPr>
          <w:rStyle w:val="29"/>
          <w:rFonts w:hint="eastAsia" w:ascii="黑体" w:hAnsi="黑体" w:eastAsia="黑体"/>
          <w:b w:val="0"/>
        </w:rPr>
        <w:t>入决算情况说明</w:t>
      </w:r>
      <w:bookmarkEnd w:id="20"/>
      <w:bookmarkEnd w:id="21"/>
    </w:p>
    <w:p>
      <w:pPr>
        <w:spacing w:line="600" w:lineRule="exact"/>
        <w:ind w:firstLine="640" w:firstLineChars="200"/>
        <w:outlineLvl w:val="1"/>
        <w:rPr>
          <w:rFonts w:ascii="仿宋" w:hAnsi="仿宋" w:eastAsia="仿宋"/>
          <w:sz w:val="32"/>
          <w:szCs w:val="32"/>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年度本年收入合计</w:t>
      </w:r>
      <w:r>
        <w:rPr>
          <w:rFonts w:hint="eastAsia" w:ascii="仿宋_GB2312" w:hAnsi="仿宋_GB2312" w:eastAsia="仿宋_GB2312" w:cs="仿宋_GB2312"/>
          <w:sz w:val="32"/>
          <w:szCs w:val="32"/>
        </w:rPr>
        <w:t>2684.71</w:t>
      </w:r>
      <w:r>
        <w:rPr>
          <w:rFonts w:hint="eastAsia" w:ascii="仿宋" w:hAnsi="仿宋" w:eastAsia="仿宋"/>
          <w:sz w:val="32"/>
          <w:szCs w:val="32"/>
        </w:rPr>
        <w:t>万元，其中：一般公共预算财政拨款收入</w:t>
      </w:r>
      <w:r>
        <w:rPr>
          <w:rFonts w:hint="eastAsia" w:ascii="仿宋" w:hAnsi="仿宋" w:eastAsia="仿宋"/>
          <w:b/>
          <w:sz w:val="32"/>
          <w:szCs w:val="32"/>
          <w:lang w:val="en-US" w:eastAsia="zh-CN"/>
        </w:rPr>
        <w:t>2637.49</w:t>
      </w:r>
      <w:r>
        <w:rPr>
          <w:rFonts w:hint="eastAsia" w:ascii="仿宋" w:hAnsi="仿宋" w:eastAsia="仿宋"/>
          <w:sz w:val="32"/>
          <w:szCs w:val="32"/>
        </w:rPr>
        <w:t>万元，占</w:t>
      </w:r>
      <w:r>
        <w:rPr>
          <w:rFonts w:hint="eastAsia" w:ascii="仿宋" w:hAnsi="仿宋" w:eastAsia="仿宋"/>
          <w:b/>
          <w:sz w:val="32"/>
          <w:szCs w:val="32"/>
          <w:lang w:val="en-US" w:eastAsia="zh-CN"/>
        </w:rPr>
        <w:t>98</w:t>
      </w:r>
      <w:r>
        <w:rPr>
          <w:rFonts w:ascii="仿宋" w:hAnsi="仿宋" w:eastAsia="仿宋"/>
          <w:b/>
          <w:sz w:val="32"/>
          <w:szCs w:val="32"/>
        </w:rPr>
        <w:t>%</w:t>
      </w:r>
      <w:r>
        <w:rPr>
          <w:rFonts w:hint="eastAsia" w:ascii="仿宋" w:hAnsi="仿宋" w:eastAsia="仿宋"/>
          <w:sz w:val="32"/>
          <w:szCs w:val="32"/>
        </w:rPr>
        <w:t>；政府性基金预算财政拨款收入</w:t>
      </w:r>
      <w:r>
        <w:rPr>
          <w:rFonts w:hint="eastAsia" w:ascii="仿宋" w:hAnsi="仿宋" w:eastAsia="仿宋"/>
          <w:b/>
          <w:sz w:val="32"/>
          <w:szCs w:val="32"/>
          <w:lang w:val="en-US" w:eastAsia="zh-CN"/>
        </w:rPr>
        <w:t>47.22</w:t>
      </w:r>
      <w:r>
        <w:rPr>
          <w:rFonts w:hint="eastAsia" w:ascii="仿宋" w:hAnsi="仿宋" w:eastAsia="仿宋"/>
          <w:sz w:val="32"/>
          <w:szCs w:val="32"/>
        </w:rPr>
        <w:t>万元，占</w:t>
      </w:r>
      <w:r>
        <w:rPr>
          <w:rFonts w:hint="eastAsia" w:ascii="仿宋" w:hAnsi="仿宋" w:eastAsia="仿宋"/>
          <w:b/>
          <w:sz w:val="32"/>
          <w:szCs w:val="32"/>
          <w:lang w:val="en-US" w:eastAsia="zh-CN"/>
        </w:rPr>
        <w:t>2</w:t>
      </w:r>
      <w:r>
        <w:rPr>
          <w:rFonts w:ascii="仿宋" w:hAnsi="仿宋" w:eastAsia="仿宋"/>
          <w:sz w:val="32"/>
          <w:szCs w:val="32"/>
        </w:rPr>
        <w:t>%</w:t>
      </w:r>
      <w:r>
        <w:rPr>
          <w:rFonts w:hint="eastAsia" w:ascii="仿宋" w:hAnsi="仿宋" w:eastAsia="仿宋"/>
          <w:sz w:val="32"/>
          <w:szCs w:val="32"/>
        </w:rPr>
        <w:t>；国有资本经营预算财政拨款收入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；上级补助收入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sz w:val="32"/>
          <w:szCs w:val="32"/>
        </w:rPr>
        <w:t>0%</w:t>
      </w:r>
      <w:r>
        <w:rPr>
          <w:rFonts w:hint="eastAsia" w:ascii="仿宋" w:hAnsi="仿宋" w:eastAsia="仿宋"/>
          <w:sz w:val="32"/>
          <w:szCs w:val="32"/>
        </w:rPr>
        <w:t>；事业收入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；经营收入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；附属单位上缴收入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；其他收</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b/>
          <w:sz w:val="32"/>
          <w:szCs w:val="32"/>
          <w:lang w:val="en-US" w:eastAsia="zh-CN"/>
        </w:rPr>
        <w:t>0</w:t>
      </w:r>
      <w:r>
        <w:rPr>
          <w:rFonts w:ascii="仿宋" w:hAnsi="仿宋" w:eastAsia="仿宋"/>
          <w:sz w:val="32"/>
          <w:szCs w:val="32"/>
        </w:rPr>
        <w:t>%</w:t>
      </w:r>
    </w:p>
    <w:p>
      <w:pPr>
        <w:spacing w:line="600" w:lineRule="exact"/>
        <w:ind w:firstLine="643" w:firstLineChars="200"/>
        <w:outlineLvl w:val="1"/>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01表</w:t>
      </w:r>
      <w:r>
        <w:rPr>
          <w:rFonts w:hint="eastAsia" w:ascii="仿宋" w:hAnsi="仿宋" w:eastAsia="仿宋"/>
          <w:b/>
          <w:sz w:val="32"/>
          <w:szCs w:val="32"/>
        </w:rPr>
        <w:t>，仅罗列本单位涉及的收入。</w:t>
      </w:r>
      <w:r>
        <w:rPr>
          <w:rFonts w:ascii="仿宋" w:hAnsi="仿宋" w:eastAsia="仿宋"/>
          <w:b/>
          <w:sz w:val="32"/>
          <w:szCs w:val="32"/>
        </w:rPr>
        <w:t>）</w:t>
      </w:r>
    </w:p>
    <w:p>
      <w:pPr>
        <w:spacing w:line="240" w:lineRule="auto"/>
        <w:ind w:firstLine="640" w:firstLineChars="200"/>
        <w:outlineLvl w:val="1"/>
        <w:rPr>
          <w:rFonts w:hint="eastAsia" w:ascii="仿宋" w:hAnsi="仿宋" w:eastAsia="仿宋"/>
          <w:sz w:val="32"/>
          <w:szCs w:val="32"/>
          <w:lang w:eastAsia="zh-CN"/>
        </w:rPr>
      </w:pPr>
    </w:p>
    <w:p>
      <w:pPr>
        <w:spacing w:line="240" w:lineRule="auto"/>
        <w:ind w:firstLine="640" w:firstLineChars="200"/>
        <w:rPr>
          <w:rFonts w:ascii="仿宋_GB2312" w:eastAsia="仿宋_GB2312"/>
          <w:sz w:val="32"/>
          <w:szCs w:val="32"/>
        </w:rPr>
      </w:pPr>
      <w:r>
        <w:rPr>
          <w:rFonts w:hint="eastAsia" w:ascii="仿宋" w:hAnsi="仿宋" w:eastAsia="仿宋"/>
          <w:sz w:val="32"/>
          <w:szCs w:val="32"/>
        </w:rPr>
        <w:drawing>
          <wp:inline distT="0" distB="0" distL="114300" distR="114300">
            <wp:extent cx="4584065" cy="2755265"/>
            <wp:effectExtent l="0" t="0" r="3175" b="3175"/>
            <wp:docPr id="8" name="图片 8" descr="收入决算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收入决算图"/>
                    <pic:cNvPicPr>
                      <a:picLocks noChangeAspect="1"/>
                    </pic:cNvPicPr>
                  </pic:nvPicPr>
                  <pic:blipFill>
                    <a:blip r:embed="rId7"/>
                    <a:stretch>
                      <a:fillRect/>
                    </a:stretch>
                  </pic:blipFill>
                  <pic:spPr>
                    <a:xfrm>
                      <a:off x="0" y="0"/>
                      <a:ext cx="4584065" cy="2755265"/>
                    </a:xfrm>
                    <a:prstGeom prst="rect">
                      <a:avLst/>
                    </a:prstGeom>
                  </pic:spPr>
                </pic:pic>
              </a:graphicData>
            </a:graphic>
          </wp:inline>
        </w:drawing>
      </w:r>
      <w:r>
        <w:rPr>
          <w:rFonts w:hint="eastAsia" w:ascii="仿宋" w:hAnsi="仿宋" w:eastAsia="仿宋"/>
          <w:sz w:val="32"/>
          <w:szCs w:val="32"/>
        </w:rPr>
        <w:t>（图2：收入决算结构图）（饼状图）</w:t>
      </w:r>
    </w:p>
    <w:p>
      <w:pPr>
        <w:pStyle w:val="27"/>
        <w:numPr>
          <w:ilvl w:val="0"/>
          <w:numId w:val="2"/>
        </w:numPr>
        <w:spacing w:line="600" w:lineRule="exact"/>
        <w:ind w:firstLineChars="0"/>
        <w:outlineLvl w:val="1"/>
        <w:rPr>
          <w:rStyle w:val="29"/>
          <w:rFonts w:ascii="黑体" w:hAnsi="黑体" w:eastAsia="黑体"/>
          <w:b w:val="0"/>
        </w:rPr>
      </w:pPr>
      <w:bookmarkStart w:id="22" w:name="_Toc15396605"/>
      <w:bookmarkStart w:id="23" w:name="_Toc15377207"/>
      <w:r>
        <w:rPr>
          <w:rFonts w:hint="eastAsia" w:ascii="黑体" w:hAnsi="黑体" w:eastAsia="黑体"/>
          <w:sz w:val="32"/>
          <w:szCs w:val="32"/>
        </w:rPr>
        <w:t>支</w:t>
      </w:r>
      <w:r>
        <w:rPr>
          <w:rStyle w:val="29"/>
          <w:rFonts w:hint="eastAsia" w:ascii="黑体" w:hAnsi="黑体" w:eastAsia="黑体"/>
          <w:b w:val="0"/>
        </w:rPr>
        <w:t>出决算情况说明</w:t>
      </w:r>
      <w:bookmarkEnd w:id="22"/>
      <w:bookmarkEnd w:id="23"/>
    </w:p>
    <w:p>
      <w:pPr>
        <w:spacing w:line="600" w:lineRule="exact"/>
        <w:ind w:firstLine="640" w:firstLineChars="200"/>
        <w:outlineLvl w:val="1"/>
        <w:rPr>
          <w:rFonts w:ascii="仿宋" w:hAnsi="仿宋" w:eastAsia="仿宋"/>
          <w:sz w:val="32"/>
          <w:szCs w:val="32"/>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年度本年支出合计</w:t>
      </w:r>
      <w:r>
        <w:rPr>
          <w:rFonts w:hint="eastAsia" w:ascii="仿宋" w:hAnsi="仿宋" w:eastAsia="仿宋"/>
          <w:b/>
          <w:sz w:val="32"/>
          <w:szCs w:val="32"/>
          <w:lang w:val="en-US" w:eastAsia="zh-CN"/>
        </w:rPr>
        <w:t>2684.71</w:t>
      </w:r>
      <w:r>
        <w:rPr>
          <w:rFonts w:hint="eastAsia" w:ascii="仿宋" w:hAnsi="仿宋" w:eastAsia="仿宋"/>
          <w:sz w:val="32"/>
          <w:szCs w:val="32"/>
        </w:rPr>
        <w:t>万元，其中：基本支出</w:t>
      </w:r>
      <w:r>
        <w:rPr>
          <w:rFonts w:hint="eastAsia" w:ascii="仿宋" w:hAnsi="仿宋" w:eastAsia="仿宋"/>
          <w:b/>
          <w:sz w:val="32"/>
          <w:szCs w:val="32"/>
          <w:lang w:val="en-US" w:eastAsia="zh-CN"/>
        </w:rPr>
        <w:t>2130.49</w:t>
      </w:r>
      <w:r>
        <w:rPr>
          <w:rFonts w:hint="eastAsia" w:ascii="仿宋" w:hAnsi="仿宋" w:eastAsia="仿宋"/>
          <w:sz w:val="32"/>
          <w:szCs w:val="32"/>
        </w:rPr>
        <w:t>万元，占</w:t>
      </w:r>
      <w:r>
        <w:rPr>
          <w:rFonts w:hint="eastAsia" w:ascii="仿宋" w:hAnsi="仿宋" w:eastAsia="仿宋"/>
          <w:b/>
          <w:sz w:val="32"/>
          <w:szCs w:val="32"/>
          <w:lang w:val="en-US" w:eastAsia="zh-CN"/>
        </w:rPr>
        <w:t>79</w:t>
      </w:r>
      <w:r>
        <w:rPr>
          <w:rFonts w:ascii="仿宋" w:hAnsi="仿宋" w:eastAsia="仿宋"/>
          <w:sz w:val="32"/>
          <w:szCs w:val="32"/>
        </w:rPr>
        <w:t>%</w:t>
      </w:r>
      <w:r>
        <w:rPr>
          <w:rFonts w:hint="eastAsia" w:ascii="仿宋" w:hAnsi="仿宋" w:eastAsia="仿宋"/>
          <w:sz w:val="32"/>
          <w:szCs w:val="32"/>
        </w:rPr>
        <w:t>；项目支出</w:t>
      </w:r>
      <w:r>
        <w:rPr>
          <w:rFonts w:hint="eastAsia" w:ascii="仿宋" w:hAnsi="仿宋" w:eastAsia="仿宋"/>
          <w:b/>
          <w:sz w:val="32"/>
          <w:szCs w:val="32"/>
          <w:lang w:val="en-US" w:eastAsia="zh-CN"/>
        </w:rPr>
        <w:t>554.23</w:t>
      </w:r>
      <w:r>
        <w:rPr>
          <w:rFonts w:hint="eastAsia" w:ascii="仿宋" w:hAnsi="仿宋" w:eastAsia="仿宋"/>
          <w:sz w:val="32"/>
          <w:szCs w:val="32"/>
        </w:rPr>
        <w:t>万元，占</w:t>
      </w:r>
      <w:r>
        <w:rPr>
          <w:rFonts w:hint="eastAsia" w:ascii="仿宋" w:hAnsi="仿宋" w:eastAsia="仿宋"/>
          <w:b/>
          <w:sz w:val="32"/>
          <w:szCs w:val="32"/>
          <w:lang w:val="en-US" w:eastAsia="zh-CN"/>
        </w:rPr>
        <w:t>21</w:t>
      </w:r>
      <w:r>
        <w:rPr>
          <w:rFonts w:ascii="仿宋" w:hAnsi="仿宋" w:eastAsia="仿宋"/>
          <w:sz w:val="32"/>
          <w:szCs w:val="32"/>
        </w:rPr>
        <w:t>%</w:t>
      </w:r>
      <w:r>
        <w:rPr>
          <w:rFonts w:hint="eastAsia" w:ascii="仿宋" w:hAnsi="仿宋" w:eastAsia="仿宋"/>
          <w:sz w:val="32"/>
          <w:szCs w:val="32"/>
        </w:rPr>
        <w:t>；上缴上级支出</w:t>
      </w:r>
      <w:r>
        <w:rPr>
          <w:rFonts w:ascii="仿宋" w:hAnsi="仿宋" w:eastAsia="仿宋"/>
          <w:b/>
          <w:sz w:val="32"/>
          <w:szCs w:val="32"/>
        </w:rPr>
        <w:t>0</w:t>
      </w:r>
      <w:r>
        <w:rPr>
          <w:rFonts w:hint="eastAsia" w:ascii="仿宋" w:hAnsi="仿宋" w:eastAsia="仿宋"/>
          <w:sz w:val="32"/>
          <w:szCs w:val="32"/>
        </w:rPr>
        <w:t>万元，占</w:t>
      </w:r>
      <w:r>
        <w:rPr>
          <w:rFonts w:hint="eastAsia"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；经营支出</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；对附属单位补助支出</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w:t>
      </w:r>
    </w:p>
    <w:p>
      <w:pPr>
        <w:spacing w:line="600" w:lineRule="exact"/>
        <w:ind w:firstLine="643" w:firstLineChars="200"/>
        <w:outlineLvl w:val="1"/>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04</w:t>
      </w:r>
      <w:r>
        <w:rPr>
          <w:rFonts w:hint="eastAsia" w:ascii="仿宋" w:hAnsi="仿宋" w:eastAsia="仿宋"/>
          <w:b/>
          <w:sz w:val="32"/>
          <w:szCs w:val="32"/>
        </w:rPr>
        <w:t>表，仅罗列本单位涉及的支出。）</w:t>
      </w:r>
    </w:p>
    <w:p>
      <w:pPr>
        <w:spacing w:line="240" w:lineRule="auto"/>
        <w:ind w:firstLine="640"/>
        <w:rPr>
          <w:rFonts w:hint="eastAsia" w:ascii="仿宋" w:hAnsi="仿宋" w:eastAsia="仿宋"/>
          <w:sz w:val="32"/>
          <w:szCs w:val="32"/>
          <w:shd w:val="pct10" w:color="auto" w:fill="FFFFFF"/>
          <w:lang w:eastAsia="zh-CN"/>
        </w:rPr>
      </w:pPr>
      <w:r>
        <w:rPr>
          <w:rFonts w:hint="eastAsia" w:ascii="仿宋" w:hAnsi="仿宋" w:eastAsia="仿宋"/>
          <w:sz w:val="32"/>
          <w:szCs w:val="32"/>
          <w:shd w:val="pct10" w:color="auto" w:fill="FFFFFF"/>
          <w:lang w:eastAsia="zh-CN"/>
        </w:rPr>
        <w:drawing>
          <wp:inline distT="0" distB="0" distL="114300" distR="114300">
            <wp:extent cx="4584065" cy="2755265"/>
            <wp:effectExtent l="0" t="0" r="3175" b="3175"/>
            <wp:docPr id="9" name="图片 9" descr="支出决算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支出决算结构图"/>
                    <pic:cNvPicPr>
                      <a:picLocks noChangeAspect="1"/>
                    </pic:cNvPicPr>
                  </pic:nvPicPr>
                  <pic:blipFill>
                    <a:blip r:embed="rId8"/>
                    <a:stretch>
                      <a:fillRect/>
                    </a:stretch>
                  </pic:blipFill>
                  <pic:spPr>
                    <a:xfrm>
                      <a:off x="0" y="0"/>
                      <a:ext cx="4584065" cy="2755265"/>
                    </a:xfrm>
                    <a:prstGeom prst="rect">
                      <a:avLst/>
                    </a:prstGeom>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（图3：支出决算结构图）（饼状图）</w:t>
      </w:r>
    </w:p>
    <w:p>
      <w:pPr>
        <w:spacing w:line="600" w:lineRule="exact"/>
        <w:ind w:firstLine="640" w:firstLineChars="200"/>
        <w:rPr>
          <w:rFonts w:ascii="仿宋_GB2312" w:eastAsia="仿宋_GB2312"/>
          <w:sz w:val="32"/>
          <w:szCs w:val="32"/>
        </w:rPr>
      </w:pPr>
    </w:p>
    <w:p>
      <w:pPr>
        <w:spacing w:line="600" w:lineRule="exact"/>
        <w:ind w:firstLine="640" w:firstLineChars="200"/>
        <w:outlineLvl w:val="1"/>
        <w:rPr>
          <w:rStyle w:val="29"/>
          <w:rFonts w:ascii="黑体" w:hAnsi="黑体" w:eastAsia="黑体"/>
          <w:b w:val="0"/>
        </w:rPr>
      </w:pPr>
      <w:bookmarkStart w:id="24" w:name="_Toc15377208"/>
      <w:bookmarkStart w:id="25" w:name="_Toc15396606"/>
      <w:r>
        <w:rPr>
          <w:rFonts w:hint="eastAsia" w:ascii="黑体" w:hAnsi="黑体" w:eastAsia="黑体"/>
          <w:sz w:val="32"/>
          <w:szCs w:val="32"/>
        </w:rPr>
        <w:t>四、财</w:t>
      </w:r>
      <w:r>
        <w:rPr>
          <w:rStyle w:val="29"/>
          <w:rFonts w:hint="eastAsia" w:ascii="黑体" w:hAnsi="黑体" w:eastAsia="黑体"/>
          <w:b w:val="0"/>
        </w:rPr>
        <w:t>政拨款收入支出决算总体情况说明</w:t>
      </w:r>
      <w:bookmarkEnd w:id="24"/>
      <w:bookmarkEnd w:id="25"/>
    </w:p>
    <w:p>
      <w:pPr>
        <w:snapToGrid w:val="0"/>
        <w:spacing w:line="520" w:lineRule="exact"/>
        <w:ind w:firstLine="640" w:firstLineChars="200"/>
        <w:rPr>
          <w:rFonts w:ascii="仿宋" w:hAnsi="仿宋" w:eastAsia="仿宋"/>
          <w:sz w:val="32"/>
          <w:szCs w:val="32"/>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年度财政拨款收、支总计均为</w:t>
      </w:r>
      <w:r>
        <w:rPr>
          <w:rFonts w:ascii="仿宋" w:hAnsi="仿宋" w:eastAsia="仿宋"/>
          <w:b/>
          <w:sz w:val="32"/>
          <w:szCs w:val="32"/>
        </w:rPr>
        <w:t>2658.87</w:t>
      </w:r>
      <w:r>
        <w:rPr>
          <w:rFonts w:hint="eastAsia" w:ascii="仿宋" w:hAnsi="仿宋" w:eastAsia="仿宋"/>
          <w:sz w:val="32"/>
          <w:szCs w:val="32"/>
        </w:rPr>
        <w:t>万元。与202</w:t>
      </w:r>
      <w:r>
        <w:rPr>
          <w:rFonts w:hint="eastAsia" w:ascii="仿宋" w:hAnsi="仿宋" w:eastAsia="仿宋"/>
          <w:sz w:val="32"/>
          <w:szCs w:val="32"/>
          <w:lang w:val="en-US" w:eastAsia="zh-CN"/>
        </w:rPr>
        <w:t>3</w:t>
      </w:r>
      <w:r>
        <w:rPr>
          <w:rFonts w:hint="eastAsia" w:ascii="仿宋" w:hAnsi="仿宋" w:eastAsia="仿宋"/>
          <w:sz w:val="32"/>
          <w:szCs w:val="32"/>
        </w:rPr>
        <w:t>年度相比，财政拨款收、支总计各增加</w:t>
      </w:r>
      <w:r>
        <w:rPr>
          <w:rFonts w:hint="eastAsia" w:ascii="仿宋_GB2312" w:hAnsi="仿宋" w:eastAsia="仿宋_GB2312"/>
          <w:sz w:val="32"/>
          <w:szCs w:val="32"/>
          <w:lang w:val="en-US" w:eastAsia="zh-CN"/>
        </w:rPr>
        <w:t>25.83</w:t>
      </w:r>
      <w:r>
        <w:rPr>
          <w:rFonts w:hint="eastAsia" w:ascii="仿宋" w:hAnsi="仿宋" w:eastAsia="仿宋"/>
          <w:sz w:val="32"/>
          <w:szCs w:val="32"/>
        </w:rPr>
        <w:t>万元，增长</w:t>
      </w:r>
      <w:r>
        <w:rPr>
          <w:rFonts w:hint="eastAsia" w:ascii="仿宋_GB2312" w:hAnsi="仿宋" w:eastAsia="仿宋_GB2312"/>
          <w:sz w:val="32"/>
          <w:szCs w:val="32"/>
          <w:lang w:val="en-US" w:eastAsia="zh-CN"/>
        </w:rPr>
        <w:t>0.9</w:t>
      </w:r>
      <w:r>
        <w:rPr>
          <w:rFonts w:ascii="仿宋" w:hAnsi="仿宋" w:eastAsia="仿宋"/>
          <w:sz w:val="32"/>
          <w:szCs w:val="32"/>
        </w:rPr>
        <w:t>%</w:t>
      </w:r>
      <w:r>
        <w:rPr>
          <w:rFonts w:hint="eastAsia" w:ascii="仿宋" w:hAnsi="仿宋" w:eastAsia="仿宋"/>
          <w:sz w:val="32"/>
          <w:szCs w:val="32"/>
        </w:rPr>
        <w:t>。主要变动原因是</w:t>
      </w:r>
      <w:r>
        <w:rPr>
          <w:rFonts w:hint="eastAsia" w:ascii="仿宋" w:hAnsi="仿宋" w:eastAsia="仿宋"/>
          <w:sz w:val="32"/>
          <w:szCs w:val="32"/>
          <w:lang w:val="en-US" w:eastAsia="zh-CN"/>
        </w:rPr>
        <w:t>213线和国道清扫路面由环卫所接管后，人员开支和清扫保洁工具费用增加。</w:t>
      </w:r>
      <w:r>
        <w:rPr>
          <w:rFonts w:hint="eastAsia" w:ascii="仿宋_GB2312" w:hAnsi="仿宋" w:eastAsia="仿宋_GB2312"/>
          <w:sz w:val="32"/>
          <w:szCs w:val="32"/>
        </w:rPr>
        <w:t>为我单位维护城区环境干净、整洁的工作提供了保障，从而使我单位的各项工作能够顺利进行</w:t>
      </w:r>
      <w:r>
        <w:rPr>
          <w:rFonts w:hint="eastAsia" w:ascii="仿宋" w:hAnsi="仿宋" w:eastAsia="仿宋"/>
          <w:sz w:val="32"/>
          <w:szCs w:val="32"/>
        </w:rPr>
        <w:t>。</w:t>
      </w:r>
    </w:p>
    <w:p>
      <w:pPr>
        <w:spacing w:line="600" w:lineRule="exact"/>
        <w:ind w:firstLine="640"/>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01-1</w:t>
      </w:r>
      <w:r>
        <w:rPr>
          <w:rFonts w:hint="eastAsia" w:ascii="仿宋" w:hAnsi="仿宋" w:eastAsia="仿宋"/>
          <w:b/>
          <w:sz w:val="32"/>
          <w:szCs w:val="32"/>
        </w:rPr>
        <w:t>表</w:t>
      </w:r>
      <w:r>
        <w:rPr>
          <w:rFonts w:ascii="仿宋" w:hAnsi="仿宋" w:eastAsia="仿宋"/>
          <w:b/>
          <w:sz w:val="32"/>
          <w:szCs w:val="32"/>
        </w:rPr>
        <w:t>）</w:t>
      </w:r>
    </w:p>
    <w:p>
      <w:pPr>
        <w:spacing w:line="240" w:lineRule="auto"/>
        <w:jc w:val="center"/>
        <w:rPr>
          <w:rFonts w:hint="eastAsia" w:ascii="仿宋" w:hAnsi="仿宋" w:eastAsia="仿宋"/>
          <w:sz w:val="32"/>
          <w:szCs w:val="32"/>
          <w:lang w:eastAsia="zh-CN"/>
        </w:rPr>
      </w:pPr>
      <w:r>
        <w:rPr>
          <w:rFonts w:hint="eastAsia" w:ascii="仿宋" w:hAnsi="仿宋" w:eastAsia="仿宋"/>
          <w:sz w:val="32"/>
          <w:szCs w:val="32"/>
          <w:lang w:eastAsia="zh-CN"/>
        </w:rPr>
        <w:drawing>
          <wp:inline distT="0" distB="0" distL="114300" distR="114300">
            <wp:extent cx="4584065" cy="2419985"/>
            <wp:effectExtent l="0" t="0" r="3175" b="3175"/>
            <wp:docPr id="10" name="图片 10" descr="收、支决算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收、支决算图"/>
                    <pic:cNvPicPr>
                      <a:picLocks noChangeAspect="1"/>
                    </pic:cNvPicPr>
                  </pic:nvPicPr>
                  <pic:blipFill>
                    <a:blip r:embed="rId6"/>
                    <a:stretch>
                      <a:fillRect/>
                    </a:stretch>
                  </pic:blipFill>
                  <pic:spPr>
                    <a:xfrm>
                      <a:off x="0" y="0"/>
                      <a:ext cx="4584065" cy="2419985"/>
                    </a:xfrm>
                    <a:prstGeom prst="rect">
                      <a:avLst/>
                    </a:prstGeom>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（图4：财政拨款收、支决算总计变动情况）（柱状图）</w:t>
      </w:r>
    </w:p>
    <w:p>
      <w:pPr>
        <w:spacing w:line="600" w:lineRule="exact"/>
        <w:ind w:firstLine="640"/>
        <w:rPr>
          <w:rFonts w:ascii="仿宋" w:hAnsi="仿宋" w:eastAsia="仿宋"/>
          <w:b/>
          <w:sz w:val="32"/>
          <w:szCs w:val="32"/>
        </w:rPr>
      </w:pPr>
    </w:p>
    <w:p>
      <w:pPr>
        <w:spacing w:line="600" w:lineRule="exact"/>
        <w:ind w:firstLine="640" w:firstLineChars="200"/>
        <w:outlineLvl w:val="1"/>
        <w:rPr>
          <w:rStyle w:val="29"/>
          <w:rFonts w:ascii="黑体" w:hAnsi="黑体" w:eastAsia="黑体"/>
          <w:b w:val="0"/>
        </w:rPr>
      </w:pPr>
      <w:bookmarkStart w:id="26" w:name="_Toc15396607"/>
      <w:bookmarkStart w:id="27" w:name="_Toc15377209"/>
      <w:r>
        <w:rPr>
          <w:rFonts w:hint="eastAsia" w:ascii="黑体" w:hAnsi="黑体" w:eastAsia="黑体"/>
          <w:sz w:val="32"/>
          <w:szCs w:val="32"/>
        </w:rPr>
        <w:t>五、</w:t>
      </w:r>
      <w:r>
        <w:rPr>
          <w:rFonts w:hint="eastAsia" w:ascii="黑体" w:hAnsi="黑体" w:eastAsia="黑体"/>
          <w:b/>
          <w:sz w:val="32"/>
          <w:szCs w:val="32"/>
        </w:rPr>
        <w:t>一</w:t>
      </w:r>
      <w:r>
        <w:rPr>
          <w:rStyle w:val="29"/>
          <w:rFonts w:hint="eastAsia" w:ascii="黑体" w:hAnsi="黑体" w:eastAsia="黑体"/>
          <w:b w:val="0"/>
        </w:rPr>
        <w:t>般公共预算财政拨款支出决算情况说明</w:t>
      </w:r>
      <w:bookmarkEnd w:id="26"/>
      <w:bookmarkEnd w:id="27"/>
    </w:p>
    <w:p>
      <w:pPr>
        <w:spacing w:line="600" w:lineRule="exact"/>
        <w:ind w:firstLine="643" w:firstLineChars="200"/>
        <w:outlineLvl w:val="2"/>
        <w:rPr>
          <w:rFonts w:ascii="仿宋" w:hAnsi="仿宋" w:eastAsia="仿宋"/>
          <w:b/>
          <w:sz w:val="32"/>
          <w:szCs w:val="32"/>
        </w:rPr>
      </w:pPr>
      <w:bookmarkStart w:id="28" w:name="_Toc15377210"/>
      <w:r>
        <w:rPr>
          <w:rFonts w:hint="eastAsia" w:ascii="仿宋" w:hAnsi="仿宋" w:eastAsia="仿宋"/>
          <w:b/>
          <w:sz w:val="32"/>
          <w:szCs w:val="32"/>
        </w:rPr>
        <w:t>（一）一般公共预算财政拨款支出决算总体情况</w:t>
      </w:r>
      <w:bookmarkEnd w:id="28"/>
    </w:p>
    <w:p>
      <w:pPr>
        <w:spacing w:line="600" w:lineRule="exact"/>
        <w:ind w:firstLine="640" w:firstLineChars="200"/>
        <w:rPr>
          <w:rFonts w:hint="eastAsia" w:ascii="仿宋" w:hAnsi="仿宋" w:eastAsia="仿宋"/>
          <w:sz w:val="32"/>
          <w:szCs w:val="32"/>
          <w:lang w:eastAsia="zh-CN"/>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年度一般公共预算财政拨款支出</w:t>
      </w:r>
      <w:r>
        <w:rPr>
          <w:rFonts w:hint="eastAsia" w:ascii="仿宋" w:hAnsi="仿宋" w:eastAsia="仿宋"/>
          <w:b/>
          <w:sz w:val="32"/>
          <w:szCs w:val="32"/>
          <w:lang w:val="en-US" w:eastAsia="zh-CN"/>
        </w:rPr>
        <w:t>2637.49</w:t>
      </w:r>
      <w:r>
        <w:rPr>
          <w:rFonts w:hint="eastAsia" w:ascii="仿宋" w:hAnsi="仿宋" w:eastAsia="仿宋"/>
          <w:sz w:val="32"/>
          <w:szCs w:val="32"/>
        </w:rPr>
        <w:t>万元，占本年支出合计的</w:t>
      </w:r>
      <w:r>
        <w:rPr>
          <w:rFonts w:hint="eastAsia" w:ascii="仿宋" w:hAnsi="仿宋" w:eastAsia="仿宋"/>
          <w:b/>
          <w:sz w:val="32"/>
          <w:szCs w:val="32"/>
          <w:lang w:val="en-US" w:eastAsia="zh-CN"/>
        </w:rPr>
        <w:t>98</w:t>
      </w:r>
      <w:r>
        <w:rPr>
          <w:rFonts w:ascii="仿宋" w:hAnsi="仿宋" w:eastAsia="仿宋"/>
          <w:sz w:val="32"/>
          <w:szCs w:val="32"/>
        </w:rPr>
        <w:t>%</w:t>
      </w:r>
      <w:r>
        <w:rPr>
          <w:rFonts w:hint="eastAsia" w:ascii="仿宋" w:hAnsi="仿宋" w:eastAsia="仿宋"/>
          <w:sz w:val="32"/>
          <w:szCs w:val="32"/>
        </w:rPr>
        <w:t>。与202</w:t>
      </w:r>
      <w:r>
        <w:rPr>
          <w:rFonts w:hint="eastAsia" w:ascii="仿宋" w:hAnsi="仿宋" w:eastAsia="仿宋"/>
          <w:sz w:val="32"/>
          <w:szCs w:val="32"/>
          <w:lang w:val="en-US" w:eastAsia="zh-CN"/>
        </w:rPr>
        <w:t>3</w:t>
      </w:r>
      <w:r>
        <w:rPr>
          <w:rFonts w:hint="eastAsia" w:ascii="仿宋" w:hAnsi="仿宋" w:eastAsia="仿宋"/>
          <w:sz w:val="32"/>
          <w:szCs w:val="32"/>
        </w:rPr>
        <w:t>年度相比，一般公共预算财政拨款支出</w:t>
      </w:r>
      <w:r>
        <w:rPr>
          <w:rFonts w:hint="eastAsia" w:ascii="仿宋" w:hAnsi="仿宋" w:eastAsia="仿宋"/>
          <w:sz w:val="32"/>
          <w:szCs w:val="32"/>
          <w:lang w:eastAsia="zh-CN"/>
        </w:rPr>
        <w:t>增加</w:t>
      </w:r>
      <w:r>
        <w:rPr>
          <w:rFonts w:hint="eastAsia" w:ascii="仿宋" w:hAnsi="仿宋" w:eastAsia="仿宋"/>
          <w:sz w:val="32"/>
          <w:szCs w:val="32"/>
          <w:lang w:val="en-US" w:eastAsia="zh-CN"/>
        </w:rPr>
        <w:t>36.31</w:t>
      </w:r>
      <w:r>
        <w:rPr>
          <w:rFonts w:hint="eastAsia" w:ascii="仿宋" w:hAnsi="仿宋" w:eastAsia="仿宋"/>
          <w:sz w:val="32"/>
          <w:szCs w:val="32"/>
        </w:rPr>
        <w:t>万元，</w:t>
      </w:r>
      <w:r>
        <w:rPr>
          <w:rFonts w:hint="eastAsia" w:ascii="仿宋" w:hAnsi="仿宋" w:eastAsia="仿宋"/>
          <w:sz w:val="32"/>
          <w:szCs w:val="32"/>
          <w:lang w:eastAsia="zh-CN"/>
        </w:rPr>
        <w:t>上升</w:t>
      </w:r>
      <w:r>
        <w:rPr>
          <w:rFonts w:hint="eastAsia" w:ascii="仿宋" w:hAnsi="仿宋" w:eastAsia="仿宋"/>
          <w:sz w:val="32"/>
          <w:szCs w:val="32"/>
          <w:lang w:val="en-US" w:eastAsia="zh-CN"/>
        </w:rPr>
        <w:t>1.4</w:t>
      </w:r>
      <w:r>
        <w:rPr>
          <w:rFonts w:ascii="仿宋" w:hAnsi="仿宋" w:eastAsia="仿宋"/>
          <w:sz w:val="32"/>
          <w:szCs w:val="32"/>
        </w:rPr>
        <w:t>%</w:t>
      </w:r>
      <w:r>
        <w:rPr>
          <w:rFonts w:hint="eastAsia" w:ascii="仿宋" w:hAnsi="仿宋" w:eastAsia="仿宋"/>
          <w:sz w:val="32"/>
          <w:szCs w:val="32"/>
        </w:rPr>
        <w:t>。主要变动原因是是</w:t>
      </w:r>
      <w:r>
        <w:rPr>
          <w:rFonts w:hint="eastAsia" w:ascii="仿宋" w:hAnsi="仿宋" w:eastAsia="仿宋"/>
          <w:sz w:val="32"/>
          <w:szCs w:val="32"/>
          <w:lang w:val="en-US" w:eastAsia="zh-CN"/>
        </w:rPr>
        <w:t>213线和国道清扫路面由环卫所接管后，人员开支和清扫保洁工具费用增加。</w:t>
      </w:r>
    </w:p>
    <w:p>
      <w:pPr>
        <w:pStyle w:val="8"/>
        <w:jc w:val="center"/>
        <w:rPr>
          <w:rFonts w:hint="eastAsia"/>
          <w:lang w:eastAsia="zh-CN"/>
        </w:rPr>
      </w:pPr>
      <w:r>
        <w:rPr>
          <w:rFonts w:hint="eastAsia"/>
          <w:lang w:eastAsia="zh-CN"/>
        </w:rPr>
        <w:drawing>
          <wp:inline distT="0" distB="0" distL="114300" distR="114300">
            <wp:extent cx="4584065" cy="2755265"/>
            <wp:effectExtent l="0" t="0" r="3175" b="3175"/>
            <wp:docPr id="11" name="图片 11" descr="一般公共预算财政拨款支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一般公共预算财政拨款支出"/>
                    <pic:cNvPicPr>
                      <a:picLocks noChangeAspect="1"/>
                    </pic:cNvPicPr>
                  </pic:nvPicPr>
                  <pic:blipFill>
                    <a:blip r:embed="rId9"/>
                    <a:stretch>
                      <a:fillRect/>
                    </a:stretch>
                  </pic:blipFill>
                  <pic:spPr>
                    <a:xfrm>
                      <a:off x="0" y="0"/>
                      <a:ext cx="4584065" cy="2755265"/>
                    </a:xfrm>
                    <a:prstGeom prst="rect">
                      <a:avLst/>
                    </a:prstGeom>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（图5：一般公共预算财政拨款支出决算变动情况）（柱状图）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29" w:name="_Toc15377211"/>
      <w:r>
        <w:rPr>
          <w:rFonts w:hint="eastAsia" w:ascii="仿宋" w:hAnsi="仿宋" w:eastAsia="仿宋"/>
          <w:b/>
          <w:sz w:val="32"/>
          <w:szCs w:val="32"/>
        </w:rPr>
        <w:t>（二）一般公共预算财政拨款支出决算结构情况</w:t>
      </w:r>
      <w:bookmarkEnd w:id="29"/>
    </w:p>
    <w:p>
      <w:pPr>
        <w:spacing w:line="600" w:lineRule="exact"/>
        <w:ind w:firstLine="640"/>
        <w:rPr>
          <w:rFonts w:ascii="仿宋" w:hAnsi="仿宋" w:eastAsia="仿宋"/>
          <w:b/>
          <w:sz w:val="32"/>
          <w:szCs w:val="32"/>
        </w:rPr>
      </w:pPr>
      <w:r>
        <w:rPr>
          <w:rFonts w:hint="eastAsia" w:ascii="仿宋" w:hAnsi="仿宋" w:eastAsia="仿宋"/>
          <w:sz w:val="32"/>
          <w:szCs w:val="32"/>
        </w:rPr>
        <w:t>202</w:t>
      </w:r>
      <w:r>
        <w:rPr>
          <w:rFonts w:hint="eastAsia" w:ascii="仿宋" w:hAnsi="仿宋" w:eastAsia="仿宋"/>
          <w:sz w:val="32"/>
          <w:szCs w:val="32"/>
          <w:lang w:val="en-US" w:eastAsia="zh-CN"/>
        </w:rPr>
        <w:t>4</w:t>
      </w:r>
      <w:r>
        <w:rPr>
          <w:rFonts w:hint="eastAsia" w:ascii="仿宋" w:hAnsi="仿宋" w:eastAsia="仿宋"/>
          <w:sz w:val="32"/>
          <w:szCs w:val="32"/>
        </w:rPr>
        <w:t>年度一般公共预算财政拨款支出</w:t>
      </w:r>
      <w:r>
        <w:rPr>
          <w:rFonts w:hint="eastAsia" w:ascii="仿宋_GB2312" w:hAnsi="仿宋_GB2312" w:eastAsia="仿宋_GB2312" w:cs="仿宋_GB2312"/>
          <w:sz w:val="32"/>
          <w:szCs w:val="32"/>
        </w:rPr>
        <w:t>2637.49</w:t>
      </w:r>
      <w:r>
        <w:rPr>
          <w:rFonts w:hint="eastAsia" w:ascii="仿宋" w:hAnsi="仿宋" w:eastAsia="仿宋"/>
          <w:sz w:val="32"/>
          <w:szCs w:val="32"/>
        </w:rPr>
        <w:t>万元，主要用于以下方面</w:t>
      </w:r>
      <w:r>
        <w:rPr>
          <w:rFonts w:ascii="仿宋" w:hAnsi="仿宋" w:eastAsia="仿宋"/>
          <w:sz w:val="32"/>
          <w:szCs w:val="32"/>
        </w:rPr>
        <w:t>:</w:t>
      </w:r>
      <w:r>
        <w:rPr>
          <w:rFonts w:hint="eastAsia" w:ascii="仿宋" w:hAnsi="仿宋" w:eastAsia="仿宋"/>
          <w:b/>
          <w:sz w:val="32"/>
          <w:szCs w:val="32"/>
        </w:rPr>
        <w:t>一般公共服务</w:t>
      </w:r>
      <w:r>
        <w:rPr>
          <w:rFonts w:hint="eastAsia" w:ascii="仿宋" w:hAnsi="仿宋" w:eastAsia="仿宋"/>
          <w:b/>
          <w:bCs/>
          <w:sz w:val="32"/>
          <w:szCs w:val="32"/>
        </w:rPr>
        <w:t>支出</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教育支出</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科学技术</w:t>
      </w:r>
      <w:r>
        <w:rPr>
          <w:rFonts w:hint="eastAsia" w:ascii="仿宋" w:hAnsi="仿宋" w:eastAsia="仿宋"/>
          <w:b/>
          <w:bCs/>
          <w:sz w:val="32"/>
          <w:szCs w:val="32"/>
        </w:rPr>
        <w:t>支出</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文化旅游体育与传媒支出</w:t>
      </w:r>
      <w:r>
        <w:rPr>
          <w:rFonts w:hint="eastAsia" w:ascii="仿宋" w:hAnsi="仿宋" w:eastAsia="仿宋"/>
          <w:b/>
          <w:bCs/>
          <w:sz w:val="32"/>
          <w:szCs w:val="32"/>
          <w:lang w:val="en-US" w:eastAsia="zh-CN"/>
        </w:rPr>
        <w:t>0</w:t>
      </w:r>
      <w:r>
        <w:rPr>
          <w:rFonts w:hint="eastAsia" w:ascii="仿宋" w:hAnsi="仿宋" w:eastAsia="仿宋"/>
          <w:b/>
          <w:bCs/>
          <w:sz w:val="32"/>
          <w:szCs w:val="32"/>
        </w:rPr>
        <w:t>万元，占</w:t>
      </w:r>
      <w:r>
        <w:rPr>
          <w:rFonts w:hint="eastAsia" w:ascii="仿宋" w:hAnsi="仿宋" w:eastAsia="仿宋"/>
          <w:b/>
          <w:bCs/>
          <w:sz w:val="32"/>
          <w:szCs w:val="32"/>
          <w:lang w:val="en-US" w:eastAsia="zh-CN"/>
        </w:rPr>
        <w:t>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w:t>
      </w:r>
      <w:r>
        <w:rPr>
          <w:rFonts w:hint="eastAsia" w:ascii="仿宋" w:hAnsi="仿宋" w:eastAsia="仿宋"/>
          <w:b/>
          <w:bCs/>
          <w:sz w:val="32"/>
          <w:szCs w:val="32"/>
        </w:rPr>
        <w:t>支出</w:t>
      </w:r>
      <w:r>
        <w:rPr>
          <w:rFonts w:hint="eastAsia" w:ascii="仿宋" w:hAnsi="仿宋" w:eastAsia="仿宋"/>
          <w:b/>
          <w:bCs/>
          <w:sz w:val="32"/>
          <w:szCs w:val="32"/>
          <w:lang w:val="en-US" w:eastAsia="zh-CN"/>
        </w:rPr>
        <w:t>133.94</w:t>
      </w:r>
      <w:r>
        <w:rPr>
          <w:rFonts w:hint="eastAsia" w:ascii="仿宋" w:hAnsi="仿宋" w:eastAsia="仿宋"/>
          <w:sz w:val="32"/>
          <w:szCs w:val="32"/>
        </w:rPr>
        <w:t>万元，占</w:t>
      </w:r>
      <w:r>
        <w:rPr>
          <w:rFonts w:hint="eastAsia" w:ascii="仿宋" w:hAnsi="仿宋" w:eastAsia="仿宋"/>
          <w:sz w:val="32"/>
          <w:szCs w:val="32"/>
          <w:lang w:val="en-US" w:eastAsia="zh-CN"/>
        </w:rPr>
        <w:t>5</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sz w:val="32"/>
          <w:szCs w:val="32"/>
        </w:rPr>
        <w:t>20.80万元，占</w:t>
      </w:r>
      <w:r>
        <w:rPr>
          <w:rFonts w:hint="eastAsia" w:ascii="仿宋" w:hAnsi="仿宋" w:eastAsia="仿宋"/>
          <w:sz w:val="32"/>
          <w:szCs w:val="32"/>
          <w:lang w:val="en-US" w:eastAsia="zh-CN"/>
        </w:rPr>
        <w:t>1</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住房保障支出</w:t>
      </w:r>
      <w:r>
        <w:rPr>
          <w:rFonts w:hint="eastAsia" w:ascii="仿宋" w:hAnsi="仿宋" w:eastAsia="仿宋"/>
          <w:sz w:val="32"/>
          <w:szCs w:val="32"/>
          <w:lang w:val="en-US" w:eastAsia="zh-CN"/>
        </w:rPr>
        <w:t>37.15</w:t>
      </w:r>
      <w:r>
        <w:rPr>
          <w:rFonts w:hint="eastAsia" w:ascii="仿宋" w:hAnsi="仿宋" w:eastAsia="仿宋"/>
          <w:sz w:val="32"/>
          <w:szCs w:val="32"/>
        </w:rPr>
        <w:t>万元，占</w:t>
      </w:r>
      <w:r>
        <w:rPr>
          <w:rFonts w:hint="eastAsia" w:ascii="仿宋" w:hAnsi="仿宋" w:eastAsia="仿宋"/>
          <w:sz w:val="32"/>
          <w:szCs w:val="32"/>
          <w:lang w:val="en-US" w:eastAsia="zh-CN"/>
        </w:rPr>
        <w:t>1.4</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lang w:eastAsia="zh-CN"/>
        </w:rPr>
        <w:t>城乡社区支出</w:t>
      </w:r>
      <w:r>
        <w:rPr>
          <w:rFonts w:hint="eastAsia" w:ascii="仿宋" w:hAnsi="仿宋" w:eastAsia="仿宋"/>
          <w:sz w:val="32"/>
          <w:szCs w:val="32"/>
        </w:rPr>
        <w:t>2,409.29万元，占</w:t>
      </w:r>
      <w:r>
        <w:rPr>
          <w:rFonts w:hint="eastAsia" w:ascii="仿宋" w:hAnsi="仿宋" w:eastAsia="仿宋"/>
          <w:sz w:val="32"/>
          <w:szCs w:val="32"/>
          <w:lang w:val="en-US" w:eastAsia="zh-CN"/>
        </w:rPr>
        <w:t>92.6</w:t>
      </w:r>
      <w:r>
        <w:rPr>
          <w:rFonts w:ascii="仿宋" w:hAnsi="仿宋" w:eastAsia="仿宋"/>
          <w:sz w:val="32"/>
          <w:szCs w:val="32"/>
        </w:rPr>
        <w:t>%</w:t>
      </w:r>
      <w:r>
        <w:rPr>
          <w:rFonts w:hint="eastAsia" w:ascii="仿宋" w:hAnsi="仿宋" w:eastAsia="仿宋"/>
          <w:sz w:val="32"/>
          <w:szCs w:val="32"/>
        </w:rPr>
        <w:t>。</w:t>
      </w:r>
    </w:p>
    <w:p>
      <w:pPr>
        <w:spacing w:line="600" w:lineRule="exact"/>
        <w:ind w:firstLine="640"/>
        <w:rPr>
          <w:rFonts w:ascii="仿宋" w:hAnsi="仿宋" w:eastAsia="仿宋"/>
          <w:b/>
          <w:sz w:val="32"/>
          <w:szCs w:val="32"/>
        </w:rPr>
      </w:pPr>
      <w:r>
        <w:rPr>
          <w:rFonts w:hint="eastAsia" w:ascii="仿宋" w:hAnsi="仿宋" w:eastAsia="仿宋"/>
          <w:b/>
          <w:sz w:val="32"/>
          <w:szCs w:val="32"/>
        </w:rPr>
        <w:t>（注：数据来源于财决01-1表，仅罗列本单位涉及的全部功能分类科目，至类级。）</w:t>
      </w:r>
    </w:p>
    <w:p>
      <w:pPr>
        <w:spacing w:line="240" w:lineRule="auto"/>
        <w:ind w:firstLine="640"/>
        <w:jc w:val="center"/>
        <w:rPr>
          <w:rFonts w:hint="eastAsia" w:ascii="仿宋" w:hAnsi="仿宋" w:eastAsia="仿宋"/>
          <w:sz w:val="32"/>
          <w:szCs w:val="32"/>
          <w:lang w:eastAsia="zh-CN"/>
        </w:rPr>
      </w:pPr>
      <w:r>
        <w:rPr>
          <w:rFonts w:hint="eastAsia" w:ascii="仿宋" w:hAnsi="仿宋" w:eastAsia="仿宋"/>
          <w:sz w:val="32"/>
          <w:szCs w:val="32"/>
          <w:lang w:eastAsia="zh-CN"/>
        </w:rPr>
        <w:drawing>
          <wp:inline distT="0" distB="0" distL="114300" distR="114300">
            <wp:extent cx="4584065" cy="2755265"/>
            <wp:effectExtent l="0" t="0" r="3175" b="3175"/>
            <wp:docPr id="12" name="图片 12" descr="支出决算结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支出决算结构"/>
                    <pic:cNvPicPr>
                      <a:picLocks noChangeAspect="1"/>
                    </pic:cNvPicPr>
                  </pic:nvPicPr>
                  <pic:blipFill>
                    <a:blip r:embed="rId10"/>
                    <a:stretch>
                      <a:fillRect/>
                    </a:stretch>
                  </pic:blipFill>
                  <pic:spPr>
                    <a:xfrm>
                      <a:off x="0" y="0"/>
                      <a:ext cx="4584065" cy="2755265"/>
                    </a:xfrm>
                    <a:prstGeom prst="rect">
                      <a:avLst/>
                    </a:prstGeom>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（图6：一般公共预算财政拨款支出决算结构）（饼状图）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30" w:name="_Toc15377212"/>
      <w:r>
        <w:rPr>
          <w:rFonts w:hint="eastAsia" w:ascii="仿宋" w:hAnsi="仿宋" w:eastAsia="仿宋"/>
          <w:b/>
          <w:sz w:val="32"/>
          <w:szCs w:val="32"/>
        </w:rPr>
        <w:t>（三）一般公共预算财政拨款支出决算具体情况</w:t>
      </w:r>
      <w:bookmarkEnd w:id="30"/>
    </w:p>
    <w:p>
      <w:pPr>
        <w:spacing w:line="600" w:lineRule="exact"/>
        <w:ind w:firstLine="643" w:firstLineChars="200"/>
        <w:outlineLvl w:val="2"/>
        <w:rPr>
          <w:rFonts w:ascii="仿宋" w:hAnsi="仿宋" w:eastAsia="仿宋"/>
          <w:sz w:val="32"/>
          <w:szCs w:val="32"/>
        </w:rPr>
      </w:pPr>
      <w:bookmarkStart w:id="31" w:name="_Toc15377444"/>
      <w:bookmarkStart w:id="32" w:name="_Toc15378460"/>
      <w:bookmarkStart w:id="33" w:name="_Toc15377213"/>
      <w:r>
        <w:rPr>
          <w:rFonts w:hint="eastAsia" w:ascii="仿宋" w:hAnsi="仿宋" w:eastAsia="仿宋"/>
          <w:b/>
          <w:sz w:val="32"/>
          <w:szCs w:val="32"/>
        </w:rPr>
        <w:t>202</w:t>
      </w:r>
      <w:r>
        <w:rPr>
          <w:rFonts w:hint="eastAsia" w:ascii="仿宋" w:hAnsi="仿宋" w:eastAsia="仿宋"/>
          <w:b/>
          <w:sz w:val="32"/>
          <w:szCs w:val="32"/>
          <w:lang w:val="en-US" w:eastAsia="zh-CN"/>
        </w:rPr>
        <w:t>4</w:t>
      </w:r>
      <w:r>
        <w:rPr>
          <w:rFonts w:hint="eastAsia" w:ascii="仿宋" w:hAnsi="仿宋" w:eastAsia="仿宋"/>
          <w:b/>
          <w:sz w:val="32"/>
          <w:szCs w:val="32"/>
        </w:rPr>
        <w:t>年度一般公共预算支出决算数为</w:t>
      </w:r>
      <w:r>
        <w:rPr>
          <w:rFonts w:hint="eastAsia" w:ascii="仿宋" w:hAnsi="仿宋" w:eastAsia="仿宋"/>
          <w:b/>
          <w:sz w:val="32"/>
          <w:szCs w:val="32"/>
          <w:lang w:val="en-US" w:eastAsia="zh-CN"/>
        </w:rPr>
        <w:t>2637.49</w:t>
      </w:r>
      <w:r>
        <w:rPr>
          <w:rFonts w:hint="eastAsia" w:ascii="仿宋" w:hAnsi="仿宋" w:eastAsia="仿宋"/>
          <w:sz w:val="32"/>
          <w:szCs w:val="32"/>
        </w:rPr>
        <w:t>，</w:t>
      </w:r>
      <w:r>
        <w:rPr>
          <w:rStyle w:val="17"/>
          <w:rFonts w:hint="eastAsia" w:ascii="仿宋" w:hAnsi="仿宋" w:eastAsia="仿宋"/>
          <w:bCs/>
          <w:sz w:val="32"/>
          <w:szCs w:val="32"/>
        </w:rPr>
        <w:t>完成预算</w:t>
      </w:r>
      <w:r>
        <w:rPr>
          <w:rStyle w:val="17"/>
          <w:rFonts w:hint="eastAsia" w:ascii="仿宋" w:hAnsi="仿宋" w:eastAsia="仿宋"/>
          <w:bCs/>
          <w:sz w:val="32"/>
          <w:szCs w:val="32"/>
          <w:lang w:val="en-US" w:eastAsia="zh-CN"/>
        </w:rPr>
        <w:t>100</w:t>
      </w:r>
      <w:r>
        <w:rPr>
          <w:rStyle w:val="17"/>
          <w:rFonts w:ascii="仿宋" w:hAnsi="仿宋" w:eastAsia="仿宋"/>
          <w:bCs/>
          <w:sz w:val="32"/>
          <w:szCs w:val="32"/>
        </w:rPr>
        <w:t>%</w:t>
      </w:r>
      <w:r>
        <w:rPr>
          <w:rStyle w:val="17"/>
          <w:rFonts w:hint="eastAsia" w:ascii="仿宋" w:hAnsi="仿宋" w:eastAsia="仿宋"/>
          <w:bCs/>
          <w:sz w:val="32"/>
          <w:szCs w:val="32"/>
        </w:rPr>
        <w:t>。其中：</w:t>
      </w:r>
      <w:bookmarkEnd w:id="31"/>
      <w:bookmarkEnd w:id="32"/>
      <w:bookmarkEnd w:id="33"/>
    </w:p>
    <w:p>
      <w:pPr>
        <w:spacing w:line="600" w:lineRule="exact"/>
        <w:ind w:firstLine="643" w:firstLineChars="200"/>
        <w:rPr>
          <w:rFonts w:ascii="仿宋" w:hAnsi="仿宋" w:eastAsia="仿宋"/>
          <w:b/>
          <w:sz w:val="32"/>
          <w:szCs w:val="32"/>
        </w:rPr>
      </w:pPr>
      <w:r>
        <w:rPr>
          <w:rStyle w:val="17"/>
          <w:rFonts w:ascii="仿宋" w:hAnsi="仿宋" w:eastAsia="仿宋"/>
          <w:bCs/>
          <w:sz w:val="32"/>
          <w:szCs w:val="32"/>
        </w:rPr>
        <w:t>1.</w:t>
      </w:r>
      <w:r>
        <w:rPr>
          <w:rStyle w:val="17"/>
          <w:rFonts w:hint="eastAsia" w:ascii="仿宋" w:hAnsi="仿宋" w:eastAsia="仿宋"/>
          <w:bCs/>
          <w:sz w:val="32"/>
          <w:szCs w:val="32"/>
        </w:rPr>
        <w:t>一般公共服务（类）</w:t>
      </w:r>
      <w:r>
        <w:rPr>
          <w:rStyle w:val="17"/>
          <w:rFonts w:ascii="仿宋" w:hAnsi="仿宋" w:eastAsia="仿宋"/>
          <w:bCs/>
          <w:sz w:val="32"/>
          <w:szCs w:val="32"/>
        </w:rPr>
        <w:t>***</w:t>
      </w:r>
      <w:r>
        <w:rPr>
          <w:rStyle w:val="17"/>
          <w:rFonts w:hint="eastAsia" w:ascii="仿宋" w:hAnsi="仿宋" w:eastAsia="仿宋"/>
          <w:bCs/>
          <w:sz w:val="32"/>
          <w:szCs w:val="32"/>
        </w:rPr>
        <w:t>（款）</w:t>
      </w:r>
      <w:r>
        <w:rPr>
          <w:rStyle w:val="17"/>
          <w:rFonts w:ascii="仿宋" w:hAnsi="仿宋" w:eastAsia="仿宋"/>
          <w:bCs/>
          <w:sz w:val="32"/>
          <w:szCs w:val="32"/>
        </w:rPr>
        <w:t>***</w:t>
      </w:r>
      <w:r>
        <w:rPr>
          <w:rStyle w:val="17"/>
          <w:rFonts w:hint="eastAsia" w:ascii="仿宋" w:hAnsi="仿宋" w:eastAsia="仿宋"/>
          <w:bCs/>
          <w:sz w:val="32"/>
          <w:szCs w:val="32"/>
        </w:rPr>
        <w:t>（项）</w:t>
      </w:r>
      <w:r>
        <w:rPr>
          <w:rStyle w:val="17"/>
          <w:rFonts w:ascii="仿宋" w:hAnsi="仿宋" w:eastAsia="仿宋"/>
          <w:bCs/>
          <w:sz w:val="32"/>
          <w:szCs w:val="32"/>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Style w:val="17"/>
          <w:rFonts w:ascii="仿宋" w:hAnsi="仿宋" w:eastAsia="仿宋"/>
          <w:b w:val="0"/>
          <w:bCs/>
          <w:sz w:val="32"/>
          <w:szCs w:val="32"/>
        </w:rPr>
        <w:t>**</w:t>
      </w:r>
      <w:r>
        <w:rPr>
          <w:rStyle w:val="17"/>
          <w:rFonts w:hint="eastAsia" w:ascii="仿宋" w:hAnsi="仿宋" w:eastAsia="仿宋"/>
          <w:b w:val="0"/>
          <w:bCs/>
          <w:sz w:val="32"/>
          <w:szCs w:val="32"/>
        </w:rPr>
        <w:t>万元，完成预算</w:t>
      </w:r>
      <w:r>
        <w:rPr>
          <w:rStyle w:val="17"/>
          <w:rFonts w:ascii="仿宋" w:hAnsi="仿宋" w:eastAsia="仿宋"/>
          <w:b w:val="0"/>
          <w:bCs/>
          <w:sz w:val="32"/>
          <w:szCs w:val="32"/>
        </w:rPr>
        <w:t>**%</w:t>
      </w:r>
      <w:r>
        <w:rPr>
          <w:rStyle w:val="17"/>
          <w:rFonts w:hint="eastAsia" w:ascii="仿宋" w:hAnsi="仿宋" w:eastAsia="仿宋"/>
          <w:b w:val="0"/>
          <w:bCs/>
          <w:sz w:val="32"/>
          <w:szCs w:val="32"/>
        </w:rPr>
        <w:t>，决算数小于</w:t>
      </w:r>
      <w:r>
        <w:rPr>
          <w:rStyle w:val="17"/>
          <w:rFonts w:ascii="仿宋" w:hAnsi="仿宋" w:eastAsia="仿宋"/>
          <w:b w:val="0"/>
          <w:bCs/>
          <w:sz w:val="32"/>
          <w:szCs w:val="32"/>
        </w:rPr>
        <w:t>/</w:t>
      </w:r>
      <w:r>
        <w:rPr>
          <w:rStyle w:val="17"/>
          <w:rFonts w:hint="eastAsia" w:ascii="仿宋" w:hAnsi="仿宋" w:eastAsia="仿宋"/>
          <w:b w:val="0"/>
          <w:bCs/>
          <w:sz w:val="32"/>
          <w:szCs w:val="32"/>
        </w:rPr>
        <w:t>等于预算数的主要原因是…。</w:t>
      </w:r>
    </w:p>
    <w:p>
      <w:pPr>
        <w:spacing w:line="600" w:lineRule="exact"/>
        <w:ind w:firstLine="643" w:firstLineChars="200"/>
        <w:rPr>
          <w:rFonts w:ascii="仿宋" w:hAnsi="仿宋" w:eastAsia="仿宋"/>
          <w:b/>
          <w:sz w:val="32"/>
          <w:szCs w:val="32"/>
        </w:rPr>
      </w:pPr>
      <w:r>
        <w:rPr>
          <w:rStyle w:val="17"/>
          <w:rFonts w:ascii="仿宋" w:hAnsi="仿宋" w:eastAsia="仿宋"/>
          <w:bCs/>
          <w:sz w:val="32"/>
          <w:szCs w:val="32"/>
        </w:rPr>
        <w:t>2.</w:t>
      </w:r>
      <w:r>
        <w:rPr>
          <w:rStyle w:val="17"/>
          <w:rFonts w:hint="eastAsia" w:ascii="仿宋" w:hAnsi="仿宋" w:eastAsia="仿宋"/>
          <w:bCs/>
          <w:sz w:val="32"/>
          <w:szCs w:val="32"/>
        </w:rPr>
        <w:t>教育（类）</w:t>
      </w:r>
      <w:r>
        <w:rPr>
          <w:rStyle w:val="17"/>
          <w:rFonts w:ascii="仿宋" w:hAnsi="仿宋" w:eastAsia="仿宋"/>
          <w:bCs/>
          <w:sz w:val="32"/>
          <w:szCs w:val="32"/>
        </w:rPr>
        <w:t>***</w:t>
      </w:r>
      <w:r>
        <w:rPr>
          <w:rStyle w:val="17"/>
          <w:rFonts w:hint="eastAsia" w:ascii="仿宋" w:hAnsi="仿宋" w:eastAsia="仿宋"/>
          <w:bCs/>
          <w:sz w:val="32"/>
          <w:szCs w:val="32"/>
        </w:rPr>
        <w:t>（款）</w:t>
      </w:r>
      <w:r>
        <w:rPr>
          <w:rStyle w:val="17"/>
          <w:rFonts w:ascii="仿宋" w:hAnsi="仿宋" w:eastAsia="仿宋"/>
          <w:bCs/>
          <w:sz w:val="32"/>
          <w:szCs w:val="32"/>
        </w:rPr>
        <w:t>***</w:t>
      </w:r>
      <w:r>
        <w:rPr>
          <w:rStyle w:val="17"/>
          <w:rFonts w:hint="eastAsia" w:ascii="仿宋" w:hAnsi="仿宋" w:eastAsia="仿宋"/>
          <w:bCs/>
          <w:sz w:val="32"/>
          <w:szCs w:val="32"/>
        </w:rPr>
        <w:t>（项）</w:t>
      </w:r>
      <w:r>
        <w:rPr>
          <w:rStyle w:val="17"/>
          <w:rFonts w:ascii="仿宋" w:hAnsi="仿宋" w:eastAsia="仿宋"/>
          <w:bCs/>
          <w:sz w:val="32"/>
          <w:szCs w:val="32"/>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Style w:val="17"/>
          <w:rFonts w:ascii="仿宋" w:hAnsi="仿宋" w:eastAsia="仿宋"/>
          <w:b w:val="0"/>
          <w:bCs/>
          <w:sz w:val="32"/>
          <w:szCs w:val="32"/>
        </w:rPr>
        <w:t>**</w:t>
      </w:r>
      <w:r>
        <w:rPr>
          <w:rStyle w:val="17"/>
          <w:rFonts w:hint="eastAsia" w:ascii="仿宋" w:hAnsi="仿宋" w:eastAsia="仿宋"/>
          <w:b w:val="0"/>
          <w:bCs/>
          <w:sz w:val="32"/>
          <w:szCs w:val="32"/>
        </w:rPr>
        <w:t>万元，完成预算</w:t>
      </w:r>
      <w:r>
        <w:rPr>
          <w:rStyle w:val="17"/>
          <w:rFonts w:ascii="仿宋" w:hAnsi="仿宋" w:eastAsia="仿宋"/>
          <w:b w:val="0"/>
          <w:bCs/>
          <w:sz w:val="32"/>
          <w:szCs w:val="32"/>
        </w:rPr>
        <w:t>**%</w:t>
      </w:r>
      <w:r>
        <w:rPr>
          <w:rStyle w:val="17"/>
          <w:rFonts w:hint="eastAsia" w:ascii="仿宋" w:hAnsi="仿宋" w:eastAsia="仿宋"/>
          <w:b w:val="0"/>
          <w:bCs/>
          <w:sz w:val="32"/>
          <w:szCs w:val="32"/>
        </w:rPr>
        <w:t>，决算数小于</w:t>
      </w:r>
      <w:r>
        <w:rPr>
          <w:rStyle w:val="17"/>
          <w:rFonts w:ascii="仿宋" w:hAnsi="仿宋" w:eastAsia="仿宋"/>
          <w:b w:val="0"/>
          <w:bCs/>
          <w:sz w:val="32"/>
          <w:szCs w:val="32"/>
        </w:rPr>
        <w:t>/</w:t>
      </w:r>
      <w:r>
        <w:rPr>
          <w:rStyle w:val="17"/>
          <w:rFonts w:hint="eastAsia" w:ascii="仿宋" w:hAnsi="仿宋" w:eastAsia="仿宋"/>
          <w:b w:val="0"/>
          <w:bCs/>
          <w:sz w:val="32"/>
          <w:szCs w:val="32"/>
        </w:rPr>
        <w:t>等于预算数的主要原因是…。</w:t>
      </w:r>
    </w:p>
    <w:p>
      <w:pPr>
        <w:spacing w:line="600" w:lineRule="exact"/>
        <w:ind w:firstLine="643" w:firstLineChars="200"/>
        <w:rPr>
          <w:rFonts w:ascii="仿宋" w:hAnsi="仿宋" w:eastAsia="仿宋"/>
          <w:b/>
          <w:sz w:val="32"/>
          <w:szCs w:val="32"/>
        </w:rPr>
      </w:pPr>
      <w:r>
        <w:rPr>
          <w:rStyle w:val="17"/>
          <w:rFonts w:ascii="仿宋" w:hAnsi="仿宋" w:eastAsia="仿宋"/>
          <w:bCs/>
          <w:sz w:val="32"/>
          <w:szCs w:val="32"/>
        </w:rPr>
        <w:t>3.</w:t>
      </w:r>
      <w:r>
        <w:rPr>
          <w:rStyle w:val="17"/>
          <w:rFonts w:hint="eastAsia" w:ascii="仿宋" w:hAnsi="仿宋" w:eastAsia="仿宋"/>
          <w:bCs/>
          <w:sz w:val="32"/>
          <w:szCs w:val="32"/>
        </w:rPr>
        <w:t>科学技术（类）</w:t>
      </w:r>
      <w:r>
        <w:rPr>
          <w:rStyle w:val="17"/>
          <w:rFonts w:ascii="仿宋" w:hAnsi="仿宋" w:eastAsia="仿宋"/>
          <w:bCs/>
          <w:sz w:val="32"/>
          <w:szCs w:val="32"/>
        </w:rPr>
        <w:t>***</w:t>
      </w:r>
      <w:r>
        <w:rPr>
          <w:rStyle w:val="17"/>
          <w:rFonts w:hint="eastAsia" w:ascii="仿宋" w:hAnsi="仿宋" w:eastAsia="仿宋"/>
          <w:bCs/>
          <w:sz w:val="32"/>
          <w:szCs w:val="32"/>
        </w:rPr>
        <w:t>（款）</w:t>
      </w:r>
      <w:r>
        <w:rPr>
          <w:rStyle w:val="17"/>
          <w:rFonts w:ascii="仿宋" w:hAnsi="仿宋" w:eastAsia="仿宋"/>
          <w:bCs/>
          <w:sz w:val="32"/>
          <w:szCs w:val="32"/>
        </w:rPr>
        <w:t>***</w:t>
      </w:r>
      <w:r>
        <w:rPr>
          <w:rStyle w:val="17"/>
          <w:rFonts w:hint="eastAsia" w:ascii="仿宋" w:hAnsi="仿宋" w:eastAsia="仿宋"/>
          <w:bCs/>
          <w:sz w:val="32"/>
          <w:szCs w:val="32"/>
        </w:rPr>
        <w:t>（项）</w:t>
      </w:r>
      <w:r>
        <w:rPr>
          <w:rStyle w:val="17"/>
          <w:rFonts w:ascii="仿宋" w:hAnsi="仿宋" w:eastAsia="仿宋"/>
          <w:bCs/>
          <w:sz w:val="32"/>
          <w:szCs w:val="32"/>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Style w:val="17"/>
          <w:rFonts w:ascii="仿宋" w:hAnsi="仿宋" w:eastAsia="仿宋"/>
          <w:b w:val="0"/>
          <w:bCs/>
          <w:sz w:val="32"/>
          <w:szCs w:val="32"/>
        </w:rPr>
        <w:t>**</w:t>
      </w:r>
      <w:r>
        <w:rPr>
          <w:rStyle w:val="17"/>
          <w:rFonts w:hint="eastAsia" w:ascii="仿宋" w:hAnsi="仿宋" w:eastAsia="仿宋"/>
          <w:b w:val="0"/>
          <w:bCs/>
          <w:sz w:val="32"/>
          <w:szCs w:val="32"/>
        </w:rPr>
        <w:t>万元，完成预算</w:t>
      </w:r>
      <w:r>
        <w:rPr>
          <w:rStyle w:val="17"/>
          <w:rFonts w:ascii="仿宋" w:hAnsi="仿宋" w:eastAsia="仿宋"/>
          <w:b w:val="0"/>
          <w:bCs/>
          <w:sz w:val="32"/>
          <w:szCs w:val="32"/>
        </w:rPr>
        <w:t>**%</w:t>
      </w:r>
      <w:r>
        <w:rPr>
          <w:rStyle w:val="17"/>
          <w:rFonts w:hint="eastAsia" w:ascii="仿宋" w:hAnsi="仿宋" w:eastAsia="仿宋"/>
          <w:b w:val="0"/>
          <w:bCs/>
          <w:sz w:val="32"/>
          <w:szCs w:val="32"/>
        </w:rPr>
        <w:t>，决算数小于</w:t>
      </w:r>
      <w:r>
        <w:rPr>
          <w:rStyle w:val="17"/>
          <w:rFonts w:ascii="仿宋" w:hAnsi="仿宋" w:eastAsia="仿宋"/>
          <w:b w:val="0"/>
          <w:bCs/>
          <w:sz w:val="32"/>
          <w:szCs w:val="32"/>
        </w:rPr>
        <w:t>/</w:t>
      </w:r>
      <w:r>
        <w:rPr>
          <w:rStyle w:val="17"/>
          <w:rFonts w:hint="eastAsia" w:ascii="仿宋" w:hAnsi="仿宋" w:eastAsia="仿宋"/>
          <w:b w:val="0"/>
          <w:bCs/>
          <w:sz w:val="32"/>
          <w:szCs w:val="32"/>
        </w:rPr>
        <w:t>等于预算数的主要原因是…。</w:t>
      </w:r>
    </w:p>
    <w:p>
      <w:pPr>
        <w:spacing w:line="600" w:lineRule="exact"/>
        <w:ind w:firstLine="643" w:firstLineChars="200"/>
        <w:rPr>
          <w:rFonts w:ascii="仿宋" w:hAnsi="仿宋" w:eastAsia="仿宋"/>
          <w:b/>
          <w:sz w:val="32"/>
          <w:szCs w:val="32"/>
        </w:rPr>
      </w:pPr>
      <w:r>
        <w:rPr>
          <w:rStyle w:val="17"/>
          <w:rFonts w:ascii="仿宋" w:hAnsi="仿宋" w:eastAsia="仿宋"/>
          <w:bCs/>
          <w:sz w:val="32"/>
          <w:szCs w:val="32"/>
        </w:rPr>
        <w:t>4.</w:t>
      </w:r>
      <w:r>
        <w:rPr>
          <w:rStyle w:val="17"/>
          <w:rFonts w:hint="eastAsia" w:ascii="仿宋" w:hAnsi="仿宋" w:eastAsia="仿宋"/>
          <w:bCs/>
          <w:sz w:val="32"/>
          <w:szCs w:val="32"/>
        </w:rPr>
        <w:t>文化旅游体育与传媒（类）</w:t>
      </w:r>
      <w:r>
        <w:rPr>
          <w:rStyle w:val="17"/>
          <w:rFonts w:ascii="仿宋" w:hAnsi="仿宋" w:eastAsia="仿宋"/>
          <w:bCs/>
          <w:sz w:val="32"/>
          <w:szCs w:val="32"/>
        </w:rPr>
        <w:t>***</w:t>
      </w:r>
      <w:r>
        <w:rPr>
          <w:rStyle w:val="17"/>
          <w:rFonts w:hint="eastAsia" w:ascii="仿宋" w:hAnsi="仿宋" w:eastAsia="仿宋"/>
          <w:bCs/>
          <w:sz w:val="32"/>
          <w:szCs w:val="32"/>
        </w:rPr>
        <w:t>（款）</w:t>
      </w:r>
      <w:r>
        <w:rPr>
          <w:rStyle w:val="17"/>
          <w:rFonts w:ascii="仿宋" w:hAnsi="仿宋" w:eastAsia="仿宋"/>
          <w:bCs/>
          <w:sz w:val="32"/>
          <w:szCs w:val="32"/>
        </w:rPr>
        <w:t>***</w:t>
      </w:r>
      <w:r>
        <w:rPr>
          <w:rStyle w:val="17"/>
          <w:rFonts w:hint="eastAsia" w:ascii="仿宋" w:hAnsi="仿宋" w:eastAsia="仿宋"/>
          <w:bCs/>
          <w:sz w:val="32"/>
          <w:szCs w:val="32"/>
        </w:rPr>
        <w:t>（项）</w:t>
      </w:r>
      <w:r>
        <w:rPr>
          <w:rStyle w:val="17"/>
          <w:rFonts w:ascii="仿宋" w:hAnsi="仿宋" w:eastAsia="仿宋"/>
          <w:bCs/>
          <w:sz w:val="32"/>
          <w:szCs w:val="32"/>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Style w:val="17"/>
          <w:rFonts w:ascii="仿宋" w:hAnsi="仿宋" w:eastAsia="仿宋"/>
          <w:b w:val="0"/>
          <w:bCs/>
          <w:sz w:val="32"/>
          <w:szCs w:val="32"/>
        </w:rPr>
        <w:t>**</w:t>
      </w:r>
      <w:r>
        <w:rPr>
          <w:rStyle w:val="17"/>
          <w:rFonts w:hint="eastAsia" w:ascii="仿宋" w:hAnsi="仿宋" w:eastAsia="仿宋"/>
          <w:b w:val="0"/>
          <w:bCs/>
          <w:sz w:val="32"/>
          <w:szCs w:val="32"/>
        </w:rPr>
        <w:t>万元，完成预算</w:t>
      </w:r>
      <w:r>
        <w:rPr>
          <w:rStyle w:val="17"/>
          <w:rFonts w:ascii="仿宋" w:hAnsi="仿宋" w:eastAsia="仿宋"/>
          <w:b w:val="0"/>
          <w:bCs/>
          <w:sz w:val="32"/>
          <w:szCs w:val="32"/>
        </w:rPr>
        <w:t>**%</w:t>
      </w:r>
      <w:r>
        <w:rPr>
          <w:rStyle w:val="17"/>
          <w:rFonts w:hint="eastAsia" w:ascii="仿宋" w:hAnsi="仿宋" w:eastAsia="仿宋"/>
          <w:b w:val="0"/>
          <w:bCs/>
          <w:sz w:val="32"/>
          <w:szCs w:val="32"/>
        </w:rPr>
        <w:t>，决算数小于</w:t>
      </w:r>
      <w:r>
        <w:rPr>
          <w:rStyle w:val="17"/>
          <w:rFonts w:ascii="仿宋" w:hAnsi="仿宋" w:eastAsia="仿宋"/>
          <w:b w:val="0"/>
          <w:bCs/>
          <w:sz w:val="32"/>
          <w:szCs w:val="32"/>
        </w:rPr>
        <w:t>/</w:t>
      </w:r>
      <w:r>
        <w:rPr>
          <w:rStyle w:val="17"/>
          <w:rFonts w:hint="eastAsia" w:ascii="仿宋" w:hAnsi="仿宋" w:eastAsia="仿宋"/>
          <w:b w:val="0"/>
          <w:bCs/>
          <w:sz w:val="32"/>
          <w:szCs w:val="32"/>
        </w:rPr>
        <w:t>等于预算数的主要原因是…。</w:t>
      </w:r>
    </w:p>
    <w:p>
      <w:pPr>
        <w:spacing w:line="600" w:lineRule="exact"/>
        <w:ind w:firstLine="643" w:firstLineChars="200"/>
        <w:rPr>
          <w:rStyle w:val="17"/>
          <w:rFonts w:hint="eastAsia" w:ascii="仿宋" w:hAnsi="仿宋" w:eastAsia="仿宋"/>
          <w:b w:val="0"/>
          <w:bCs/>
          <w:sz w:val="32"/>
          <w:szCs w:val="32"/>
        </w:rPr>
      </w:pPr>
      <w:r>
        <w:rPr>
          <w:rStyle w:val="17"/>
          <w:rFonts w:ascii="仿宋" w:hAnsi="仿宋" w:eastAsia="仿宋"/>
          <w:bCs/>
          <w:sz w:val="32"/>
          <w:szCs w:val="32"/>
        </w:rPr>
        <w:t>5.</w:t>
      </w:r>
      <w:r>
        <w:rPr>
          <w:rFonts w:hint="eastAsia" w:ascii="仿宋_GB2312" w:hAnsi="仿宋_GB2312" w:eastAsia="仿宋_GB2312"/>
          <w:b/>
          <w:color w:val="000000"/>
          <w:kern w:val="2"/>
          <w:sz w:val="32"/>
          <w:szCs w:val="24"/>
          <w:lang w:val="en-US"/>
        </w:rPr>
        <w:t>社会保障和就业支出（类）</w:t>
      </w:r>
      <w:r>
        <w:rPr>
          <w:rFonts w:hint="eastAsia" w:ascii="仿宋_GB2312" w:hAnsi="仿宋_GB2312" w:eastAsia="仿宋_GB2312"/>
          <w:b/>
          <w:color w:val="000000"/>
          <w:kern w:val="2"/>
          <w:sz w:val="32"/>
          <w:szCs w:val="24"/>
          <w:lang w:val="en-US" w:eastAsia="zh-CN"/>
        </w:rPr>
        <w:t>行政事业单位养老支出</w:t>
      </w:r>
      <w:r>
        <w:rPr>
          <w:rFonts w:hint="eastAsia" w:ascii="仿宋_GB2312" w:hAnsi="仿宋_GB2312" w:eastAsia="仿宋_GB2312"/>
          <w:b/>
          <w:color w:val="000000"/>
          <w:kern w:val="2"/>
          <w:sz w:val="32"/>
          <w:szCs w:val="24"/>
          <w:lang w:val="en-US"/>
        </w:rPr>
        <w:t>（款）</w:t>
      </w:r>
      <w:r>
        <w:rPr>
          <w:rFonts w:hint="eastAsia" w:ascii="仿宋_GB2312" w:hAnsi="仿宋_GB2312" w:eastAsia="仿宋_GB2312"/>
          <w:b/>
          <w:color w:val="000000"/>
          <w:kern w:val="2"/>
          <w:sz w:val="32"/>
          <w:szCs w:val="24"/>
          <w:lang w:val="en-US" w:eastAsia="zh-CN"/>
        </w:rPr>
        <w:t>机关事业单位养老保险缴费支出</w:t>
      </w:r>
      <w:r>
        <w:rPr>
          <w:rFonts w:hint="eastAsia" w:ascii="仿宋_GB2312" w:hAnsi="仿宋_GB2312" w:eastAsia="仿宋_GB2312"/>
          <w:b/>
          <w:color w:val="000000"/>
          <w:kern w:val="2"/>
          <w:sz w:val="32"/>
          <w:szCs w:val="24"/>
          <w:lang w:val="en-US"/>
        </w:rPr>
        <w:t>（项）:</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Style w:val="17"/>
          <w:rFonts w:hint="eastAsia" w:ascii="仿宋" w:hAnsi="仿宋" w:eastAsia="仿宋"/>
          <w:b w:val="0"/>
          <w:bCs/>
          <w:sz w:val="32"/>
          <w:szCs w:val="32"/>
          <w:lang w:val="en-US" w:eastAsia="zh-CN"/>
        </w:rPr>
        <w:t>42.18</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，决算数等于预算数。</w:t>
      </w:r>
    </w:p>
    <w:p>
      <w:pPr>
        <w:spacing w:line="600" w:lineRule="exact"/>
        <w:ind w:firstLine="643" w:firstLineChars="200"/>
        <w:rPr>
          <w:rStyle w:val="17"/>
          <w:rFonts w:hint="eastAsia" w:ascii="仿宋" w:hAnsi="仿宋" w:eastAsia="仿宋"/>
          <w:b w:val="0"/>
          <w:bCs/>
          <w:sz w:val="32"/>
          <w:szCs w:val="32"/>
          <w:lang w:val="en-US" w:eastAsia="zh-CN"/>
        </w:rPr>
      </w:pPr>
      <w:r>
        <w:rPr>
          <w:rFonts w:hint="eastAsia" w:hAnsi="仿宋_GB2312"/>
          <w:b/>
          <w:color w:val="000000"/>
          <w:kern w:val="2"/>
          <w:sz w:val="32"/>
          <w:szCs w:val="24"/>
          <w:lang w:val="en-US" w:eastAsia="zh-CN"/>
        </w:rPr>
        <w:t>6.</w:t>
      </w:r>
      <w:r>
        <w:rPr>
          <w:rFonts w:hint="eastAsia" w:hAnsi="仿宋_GB2312"/>
          <w:b/>
          <w:color w:val="000000"/>
          <w:kern w:val="2"/>
          <w:sz w:val="32"/>
          <w:szCs w:val="24"/>
          <w:lang w:val="en-US"/>
        </w:rPr>
        <w:t>社会保障和就业支出（类）</w:t>
      </w:r>
      <w:r>
        <w:rPr>
          <w:rFonts w:hint="eastAsia" w:hAnsi="仿宋_GB2312"/>
          <w:b/>
          <w:color w:val="000000"/>
          <w:kern w:val="2"/>
          <w:sz w:val="32"/>
          <w:szCs w:val="24"/>
          <w:lang w:val="en-US" w:eastAsia="zh-CN"/>
        </w:rPr>
        <w:t>行政事业单位养老支出</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机关事业单位职业年金缴费支出</w:t>
      </w:r>
      <w:r>
        <w:rPr>
          <w:rFonts w:hint="eastAsia" w:hAnsi="仿宋_GB2312"/>
          <w:b/>
          <w:color w:val="000000"/>
          <w:kern w:val="2"/>
          <w:sz w:val="32"/>
          <w:szCs w:val="24"/>
          <w:lang w:val="en-US"/>
        </w:rPr>
        <w:t>（项）</w:t>
      </w:r>
      <w:r>
        <w:rPr>
          <w:rFonts w:hint="eastAsia" w:ascii="仿宋_GB2312" w:hAnsi="仿宋_GB2312" w:eastAsia="仿宋_GB2312"/>
          <w:b/>
          <w:color w:val="000000"/>
          <w:kern w:val="2"/>
          <w:sz w:val="32"/>
          <w:szCs w:val="24"/>
          <w:lang w:val="en-US"/>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Fonts w:hint="eastAsia" w:ascii="仿宋" w:hAnsi="仿宋" w:eastAsia="仿宋"/>
          <w:b/>
          <w:bCs/>
          <w:sz w:val="32"/>
          <w:szCs w:val="32"/>
          <w:lang w:val="en-US" w:eastAsia="zh-CN"/>
        </w:rPr>
        <w:t>27.29</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，决算数等于预算数。</w:t>
      </w:r>
    </w:p>
    <w:p>
      <w:pPr>
        <w:spacing w:line="600" w:lineRule="exact"/>
        <w:ind w:firstLine="643" w:firstLineChars="200"/>
        <w:rPr>
          <w:rFonts w:hint="default" w:eastAsia="仿宋_GB2312"/>
          <w:b/>
          <w:bCs/>
          <w:lang w:val="en-US" w:eastAsia="zh-CN"/>
        </w:rPr>
      </w:pPr>
      <w:r>
        <w:rPr>
          <w:rFonts w:hint="eastAsia" w:hAnsi="仿宋_GB2312"/>
          <w:b/>
          <w:color w:val="000000"/>
          <w:kern w:val="2"/>
          <w:sz w:val="32"/>
          <w:szCs w:val="24"/>
          <w:lang w:val="en-US" w:eastAsia="zh-CN"/>
        </w:rPr>
        <w:t>7.</w:t>
      </w:r>
      <w:r>
        <w:rPr>
          <w:rFonts w:hint="eastAsia" w:hAnsi="仿宋_GB2312"/>
          <w:b/>
          <w:color w:val="000000"/>
          <w:kern w:val="2"/>
          <w:sz w:val="32"/>
          <w:szCs w:val="24"/>
          <w:lang w:val="en-US"/>
        </w:rPr>
        <w:t>社会保障和就业支出（类）</w:t>
      </w:r>
      <w:r>
        <w:rPr>
          <w:rFonts w:hint="eastAsia" w:hAnsi="仿宋_GB2312"/>
          <w:b/>
          <w:color w:val="000000"/>
          <w:kern w:val="2"/>
          <w:sz w:val="32"/>
          <w:szCs w:val="24"/>
          <w:lang w:val="en-US" w:eastAsia="zh-CN"/>
        </w:rPr>
        <w:t>行政事业单位养老支出</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其他行政事业单位养老支出</w:t>
      </w:r>
      <w:r>
        <w:rPr>
          <w:rFonts w:hint="eastAsia" w:hAnsi="仿宋_GB2312"/>
          <w:b/>
          <w:color w:val="000000"/>
          <w:kern w:val="2"/>
          <w:sz w:val="32"/>
          <w:szCs w:val="24"/>
          <w:lang w:val="en-US"/>
        </w:rPr>
        <w:t>（项）</w:t>
      </w:r>
      <w:r>
        <w:rPr>
          <w:rFonts w:hint="eastAsia" w:ascii="仿宋_GB2312" w:hAnsi="仿宋_GB2312" w:eastAsia="仿宋_GB2312"/>
          <w:b/>
          <w:color w:val="000000"/>
          <w:kern w:val="2"/>
          <w:sz w:val="32"/>
          <w:szCs w:val="24"/>
          <w:lang w:val="en-US"/>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Fonts w:hint="eastAsia" w:ascii="仿宋" w:hAnsi="仿宋" w:eastAsia="仿宋"/>
          <w:b/>
          <w:bCs/>
          <w:sz w:val="32"/>
          <w:szCs w:val="32"/>
          <w:lang w:val="en-US" w:eastAsia="zh-CN"/>
        </w:rPr>
        <w:t>52.33</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，决算数等于预算数。</w:t>
      </w:r>
    </w:p>
    <w:p>
      <w:pPr>
        <w:spacing w:line="600" w:lineRule="exact"/>
        <w:ind w:firstLine="643" w:firstLineChars="200"/>
        <w:rPr>
          <w:rStyle w:val="17"/>
          <w:rFonts w:hint="eastAsia" w:ascii="仿宋" w:hAnsi="仿宋" w:eastAsia="仿宋"/>
          <w:b w:val="0"/>
          <w:bCs/>
          <w:sz w:val="32"/>
          <w:szCs w:val="32"/>
        </w:rPr>
      </w:pPr>
      <w:r>
        <w:rPr>
          <w:rStyle w:val="17"/>
          <w:rFonts w:hint="eastAsia" w:ascii="仿宋" w:hAnsi="仿宋" w:eastAsia="仿宋"/>
          <w:bCs/>
          <w:sz w:val="32"/>
          <w:szCs w:val="32"/>
          <w:lang w:val="en-US" w:eastAsia="zh-CN"/>
        </w:rPr>
        <w:t>8</w:t>
      </w:r>
      <w:r>
        <w:rPr>
          <w:rStyle w:val="17"/>
          <w:rFonts w:ascii="仿宋" w:hAnsi="仿宋" w:eastAsia="仿宋"/>
          <w:bCs/>
          <w:sz w:val="32"/>
          <w:szCs w:val="32"/>
        </w:rPr>
        <w:t>.</w:t>
      </w:r>
      <w:r>
        <w:rPr>
          <w:rFonts w:hint="eastAsia" w:hAnsi="仿宋_GB2312"/>
          <w:b/>
          <w:color w:val="000000"/>
          <w:kern w:val="2"/>
          <w:sz w:val="32"/>
          <w:szCs w:val="24"/>
          <w:lang w:val="en-US"/>
        </w:rPr>
        <w:t>卫生健康支出（类）</w:t>
      </w:r>
      <w:r>
        <w:rPr>
          <w:rFonts w:hint="eastAsia" w:hAnsi="仿宋_GB2312"/>
          <w:b/>
          <w:color w:val="000000"/>
          <w:kern w:val="2"/>
          <w:sz w:val="32"/>
          <w:szCs w:val="24"/>
          <w:lang w:val="en-US" w:eastAsia="zh-CN"/>
        </w:rPr>
        <w:t>行政事业单位医疗</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事业单位医疗</w:t>
      </w:r>
      <w:r>
        <w:rPr>
          <w:rFonts w:hint="eastAsia" w:hAnsi="仿宋_GB2312"/>
          <w:b/>
          <w:color w:val="000000"/>
          <w:kern w:val="2"/>
          <w:sz w:val="32"/>
          <w:szCs w:val="24"/>
          <w:lang w:val="en-US"/>
        </w:rPr>
        <w:t>（项）:</w:t>
      </w:r>
      <w:r>
        <w:rPr>
          <w:rStyle w:val="17"/>
          <w:rFonts w:hint="eastAsia" w:ascii="仿宋" w:hAnsi="仿宋" w:eastAsia="仿宋"/>
          <w:b w:val="0"/>
          <w:bCs/>
          <w:sz w:val="32"/>
          <w:szCs w:val="32"/>
        </w:rPr>
        <w:t>支出决算为</w:t>
      </w:r>
      <w:r>
        <w:rPr>
          <w:rFonts w:hint="eastAsia" w:ascii="仿宋" w:hAnsi="仿宋" w:eastAsia="仿宋"/>
          <w:sz w:val="32"/>
          <w:szCs w:val="32"/>
          <w:lang w:val="en-US" w:eastAsia="zh-CN"/>
        </w:rPr>
        <w:t>12.08</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，决算数决算数等于预算数。</w:t>
      </w:r>
    </w:p>
    <w:p>
      <w:pPr>
        <w:pStyle w:val="8"/>
        <w:ind w:firstLine="643" w:firstLineChars="200"/>
      </w:pPr>
      <w:r>
        <w:rPr>
          <w:rFonts w:hint="eastAsia" w:hAnsi="仿宋_GB2312"/>
          <w:b/>
          <w:color w:val="000000"/>
          <w:kern w:val="2"/>
          <w:sz w:val="32"/>
          <w:szCs w:val="24"/>
          <w:lang w:val="en-US" w:eastAsia="zh-CN"/>
        </w:rPr>
        <w:t>9.</w:t>
      </w:r>
      <w:r>
        <w:rPr>
          <w:rFonts w:hint="eastAsia" w:hAnsi="仿宋_GB2312"/>
          <w:b/>
          <w:color w:val="000000"/>
          <w:kern w:val="2"/>
          <w:sz w:val="32"/>
          <w:szCs w:val="24"/>
          <w:lang w:val="en-US"/>
        </w:rPr>
        <w:t>卫生健康支出（类）</w:t>
      </w:r>
      <w:r>
        <w:rPr>
          <w:rFonts w:hint="eastAsia" w:hAnsi="仿宋_GB2312"/>
          <w:b/>
          <w:color w:val="000000"/>
          <w:kern w:val="2"/>
          <w:sz w:val="32"/>
          <w:szCs w:val="24"/>
          <w:lang w:val="en-US" w:eastAsia="zh-CN"/>
        </w:rPr>
        <w:t>行政事业单位医疗</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事业单位医疗</w:t>
      </w:r>
      <w:r>
        <w:rPr>
          <w:rFonts w:hint="eastAsia" w:hAnsi="仿宋_GB2312"/>
          <w:b/>
          <w:color w:val="000000"/>
          <w:kern w:val="2"/>
          <w:sz w:val="32"/>
          <w:szCs w:val="24"/>
          <w:lang w:val="en-US"/>
        </w:rPr>
        <w:t>（项）:</w:t>
      </w:r>
      <w:r>
        <w:rPr>
          <w:rStyle w:val="17"/>
          <w:rFonts w:hint="eastAsia" w:ascii="仿宋" w:hAnsi="仿宋" w:eastAsia="仿宋"/>
          <w:b w:val="0"/>
          <w:bCs/>
          <w:sz w:val="32"/>
          <w:szCs w:val="32"/>
        </w:rPr>
        <w:t>支出决算为</w:t>
      </w:r>
      <w:r>
        <w:rPr>
          <w:rFonts w:hint="eastAsia" w:ascii="仿宋" w:hAnsi="仿宋" w:eastAsia="仿宋"/>
          <w:sz w:val="32"/>
          <w:szCs w:val="32"/>
          <w:lang w:val="en-US" w:eastAsia="zh-CN"/>
        </w:rPr>
        <w:t>8.3</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，决算数决算数等于预算数。</w:t>
      </w:r>
    </w:p>
    <w:p>
      <w:pPr>
        <w:spacing w:line="600" w:lineRule="exact"/>
        <w:ind w:firstLine="643" w:firstLineChars="200"/>
        <w:rPr>
          <w:rStyle w:val="17"/>
          <w:rFonts w:hint="eastAsia" w:ascii="仿宋" w:hAnsi="仿宋" w:eastAsia="仿宋"/>
          <w:b w:val="0"/>
          <w:bCs/>
          <w:sz w:val="32"/>
          <w:szCs w:val="32"/>
        </w:rPr>
      </w:pPr>
      <w:r>
        <w:rPr>
          <w:rFonts w:hint="eastAsia" w:ascii="仿宋_GB2312" w:hAnsi="仿宋_GB2312" w:eastAsia="仿宋_GB2312"/>
          <w:b/>
          <w:color w:val="000000"/>
          <w:kern w:val="2"/>
          <w:sz w:val="32"/>
          <w:szCs w:val="24"/>
          <w:lang w:val="en-US" w:eastAsia="zh-CN"/>
        </w:rPr>
        <w:t>10.城乡社区支出</w:t>
      </w:r>
      <w:r>
        <w:rPr>
          <w:rFonts w:hint="eastAsia" w:ascii="仿宋_GB2312" w:hAnsi="仿宋_GB2312" w:eastAsia="仿宋_GB2312"/>
          <w:b/>
          <w:color w:val="000000"/>
          <w:kern w:val="2"/>
          <w:sz w:val="32"/>
          <w:szCs w:val="24"/>
          <w:lang w:val="en-US"/>
        </w:rPr>
        <w:t>（类）</w:t>
      </w:r>
      <w:r>
        <w:rPr>
          <w:rFonts w:hint="eastAsia" w:ascii="Times New Roman" w:hAnsi="仿宋_GB2312" w:eastAsia="宋体"/>
          <w:b/>
          <w:color w:val="000000"/>
          <w:kern w:val="2"/>
          <w:sz w:val="32"/>
          <w:szCs w:val="24"/>
          <w:lang w:val="en-US" w:eastAsia="zh-CN"/>
        </w:rPr>
        <w:t>城乡社区管理事务</w:t>
      </w:r>
      <w:r>
        <w:rPr>
          <w:rFonts w:hint="eastAsia" w:ascii="仿宋_GB2312" w:hAnsi="仿宋_GB2312" w:eastAsia="仿宋_GB2312"/>
          <w:b/>
          <w:color w:val="000000"/>
          <w:kern w:val="2"/>
          <w:sz w:val="32"/>
          <w:szCs w:val="24"/>
          <w:lang w:val="en-US"/>
        </w:rPr>
        <w:t>（款）</w:t>
      </w:r>
      <w:r>
        <w:rPr>
          <w:rFonts w:hint="eastAsia" w:ascii="Times New Roman" w:hAnsi="仿宋_GB2312" w:eastAsia="宋体"/>
          <w:b/>
          <w:color w:val="000000"/>
          <w:kern w:val="2"/>
          <w:sz w:val="32"/>
          <w:szCs w:val="24"/>
          <w:lang w:val="en-US" w:eastAsia="zh-CN"/>
        </w:rPr>
        <w:t>其他城乡社区管理事务支出</w:t>
      </w:r>
      <w:r>
        <w:rPr>
          <w:rFonts w:hint="eastAsia" w:ascii="仿宋_GB2312" w:hAnsi="仿宋_GB2312" w:eastAsia="仿宋_GB2312"/>
          <w:b/>
          <w:color w:val="000000"/>
          <w:kern w:val="2"/>
          <w:sz w:val="32"/>
          <w:szCs w:val="24"/>
          <w:lang w:val="en-US"/>
        </w:rPr>
        <w:t>（项）</w:t>
      </w:r>
      <w:r>
        <w:rPr>
          <w:rFonts w:hint="eastAsia" w:ascii="仿宋_GB2312" w:hAnsi="仿宋_GB2312" w:eastAsia="仿宋_GB2312"/>
          <w:b/>
          <w:color w:val="000000"/>
          <w:kern w:val="2"/>
          <w:sz w:val="32"/>
          <w:szCs w:val="24"/>
          <w:lang w:val="en-US" w:eastAsia="zh-CN"/>
        </w:rPr>
        <w:t>：</w:t>
      </w:r>
      <w:r>
        <w:rPr>
          <w:rStyle w:val="17"/>
          <w:rFonts w:hint="eastAsia" w:ascii="仿宋" w:hAnsi="仿宋" w:eastAsia="仿宋"/>
          <w:b w:val="0"/>
          <w:bCs/>
          <w:sz w:val="32"/>
          <w:szCs w:val="32"/>
        </w:rPr>
        <w:t>支出决算为</w:t>
      </w:r>
      <w:r>
        <w:rPr>
          <w:rFonts w:hint="eastAsia" w:ascii="仿宋" w:hAnsi="仿宋" w:eastAsia="仿宋"/>
          <w:sz w:val="32"/>
          <w:szCs w:val="32"/>
          <w:lang w:val="en-US" w:eastAsia="zh-CN"/>
        </w:rPr>
        <w:t>1932.57</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，决算数决算数等于预算数。</w:t>
      </w:r>
    </w:p>
    <w:p>
      <w:pPr>
        <w:spacing w:line="600" w:lineRule="exact"/>
        <w:ind w:firstLine="643" w:firstLineChars="200"/>
        <w:rPr>
          <w:rStyle w:val="17"/>
          <w:rFonts w:hint="eastAsia" w:ascii="仿宋" w:hAnsi="仿宋" w:eastAsia="仿宋"/>
          <w:b w:val="0"/>
          <w:bCs/>
          <w:sz w:val="32"/>
          <w:szCs w:val="32"/>
        </w:rPr>
      </w:pPr>
      <w:r>
        <w:rPr>
          <w:rFonts w:hint="eastAsia" w:hAnsi="仿宋_GB2312"/>
          <w:b/>
          <w:color w:val="000000"/>
          <w:kern w:val="2"/>
          <w:sz w:val="32"/>
          <w:szCs w:val="24"/>
          <w:lang w:val="en-US" w:eastAsia="zh-CN"/>
        </w:rPr>
        <w:t>11.</w:t>
      </w:r>
      <w:r>
        <w:rPr>
          <w:rFonts w:hint="eastAsia" w:ascii="仿宋_GB2312" w:hAnsi="仿宋_GB2312" w:eastAsia="仿宋_GB2312"/>
          <w:b/>
          <w:color w:val="000000"/>
          <w:kern w:val="2"/>
          <w:sz w:val="32"/>
          <w:szCs w:val="24"/>
          <w:lang w:val="en-US" w:eastAsia="zh-CN"/>
        </w:rPr>
        <w:t>城乡社区支出</w:t>
      </w:r>
      <w:r>
        <w:rPr>
          <w:rFonts w:hint="eastAsia" w:ascii="仿宋_GB2312" w:hAnsi="仿宋_GB2312" w:eastAsia="仿宋_GB2312"/>
          <w:b/>
          <w:color w:val="000000"/>
          <w:kern w:val="2"/>
          <w:sz w:val="32"/>
          <w:szCs w:val="24"/>
          <w:lang w:val="en-US"/>
        </w:rPr>
        <w:t>（类）</w:t>
      </w:r>
      <w:r>
        <w:rPr>
          <w:rFonts w:hint="eastAsia" w:ascii="Times New Roman" w:hAnsi="仿宋_GB2312" w:eastAsia="宋体"/>
          <w:b/>
          <w:color w:val="000000"/>
          <w:kern w:val="2"/>
          <w:sz w:val="32"/>
          <w:szCs w:val="24"/>
          <w:lang w:val="en-US" w:eastAsia="zh-CN"/>
        </w:rPr>
        <w:t>城乡社区管理事务</w:t>
      </w:r>
      <w:r>
        <w:rPr>
          <w:rFonts w:hint="eastAsia" w:ascii="仿宋_GB2312" w:hAnsi="仿宋_GB2312" w:eastAsia="仿宋_GB2312"/>
          <w:b/>
          <w:color w:val="000000"/>
          <w:kern w:val="2"/>
          <w:sz w:val="32"/>
          <w:szCs w:val="24"/>
          <w:lang w:val="en-US"/>
        </w:rPr>
        <w:t>（款）</w:t>
      </w:r>
      <w:r>
        <w:rPr>
          <w:rFonts w:hint="eastAsia" w:ascii="Times New Roman" w:hAnsi="仿宋_GB2312" w:eastAsia="宋体"/>
          <w:b/>
          <w:color w:val="000000"/>
          <w:kern w:val="2"/>
          <w:sz w:val="32"/>
          <w:szCs w:val="24"/>
          <w:lang w:val="en-US" w:eastAsia="zh-CN"/>
        </w:rPr>
        <w:t>其他城乡社区公共设施支出</w:t>
      </w:r>
      <w:r>
        <w:rPr>
          <w:rFonts w:hint="eastAsia" w:ascii="仿宋_GB2312" w:hAnsi="仿宋_GB2312" w:eastAsia="仿宋_GB2312"/>
          <w:b/>
          <w:color w:val="000000"/>
          <w:kern w:val="2"/>
          <w:sz w:val="32"/>
          <w:szCs w:val="24"/>
          <w:lang w:val="en-US"/>
        </w:rPr>
        <w:t>（项）</w:t>
      </w:r>
      <w:r>
        <w:rPr>
          <w:rFonts w:hint="eastAsia" w:ascii="仿宋_GB2312" w:hAnsi="仿宋_GB2312" w:eastAsia="仿宋_GB2312"/>
          <w:b/>
          <w:color w:val="000000"/>
          <w:kern w:val="2"/>
          <w:sz w:val="32"/>
          <w:szCs w:val="24"/>
          <w:lang w:val="en-US" w:eastAsia="zh-CN"/>
        </w:rPr>
        <w:t>：</w:t>
      </w:r>
      <w:r>
        <w:rPr>
          <w:rStyle w:val="17"/>
          <w:rFonts w:hint="eastAsia" w:ascii="仿宋" w:hAnsi="仿宋" w:eastAsia="仿宋"/>
          <w:b w:val="0"/>
          <w:bCs/>
          <w:sz w:val="32"/>
          <w:szCs w:val="32"/>
        </w:rPr>
        <w:t>支出决算为</w:t>
      </w:r>
      <w:r>
        <w:rPr>
          <w:rFonts w:hint="eastAsia" w:ascii="仿宋" w:hAnsi="仿宋" w:eastAsia="仿宋"/>
          <w:sz w:val="32"/>
          <w:szCs w:val="32"/>
          <w:lang w:val="en-US" w:eastAsia="zh-CN"/>
        </w:rPr>
        <w:t>0</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0</w:t>
      </w:r>
      <w:r>
        <w:rPr>
          <w:rStyle w:val="17"/>
          <w:rFonts w:ascii="仿宋" w:hAnsi="仿宋" w:eastAsia="仿宋"/>
          <w:b w:val="0"/>
          <w:bCs/>
          <w:sz w:val="32"/>
          <w:szCs w:val="32"/>
        </w:rPr>
        <w:t>%</w:t>
      </w:r>
      <w:r>
        <w:rPr>
          <w:rStyle w:val="17"/>
          <w:rFonts w:hint="eastAsia" w:ascii="仿宋" w:hAnsi="仿宋" w:eastAsia="仿宋"/>
          <w:b w:val="0"/>
          <w:bCs/>
          <w:sz w:val="32"/>
          <w:szCs w:val="32"/>
        </w:rPr>
        <w:t>，决算数决算数等于预算数。</w:t>
      </w:r>
    </w:p>
    <w:p>
      <w:pPr>
        <w:keepNext/>
        <w:keepLines/>
        <w:spacing w:beforeLines="0" w:afterLines="0" w:line="576" w:lineRule="exact"/>
        <w:ind w:firstLine="643"/>
        <w:jc w:val="both"/>
        <w:rPr>
          <w:rFonts w:hint="eastAsia" w:ascii="仿宋" w:hAnsi="仿宋" w:eastAsia="仿宋"/>
          <w:color w:val="auto"/>
          <w:kern w:val="2"/>
          <w:sz w:val="32"/>
          <w:szCs w:val="24"/>
          <w:lang w:val="en-US"/>
        </w:rPr>
      </w:pPr>
      <w:r>
        <w:rPr>
          <w:rFonts w:hint="eastAsia" w:ascii="仿宋_GB2312" w:hAnsi="仿宋_GB2312" w:eastAsia="仿宋_GB2312"/>
          <w:b/>
          <w:color w:val="000000"/>
          <w:kern w:val="2"/>
          <w:sz w:val="32"/>
          <w:szCs w:val="24"/>
          <w:lang w:val="en-US" w:eastAsia="zh-CN"/>
        </w:rPr>
        <w:t>12.城乡社区支出</w:t>
      </w:r>
      <w:r>
        <w:rPr>
          <w:rFonts w:hint="eastAsia" w:ascii="仿宋_GB2312" w:hAnsi="仿宋_GB2312" w:eastAsia="仿宋_GB2312"/>
          <w:b/>
          <w:color w:val="000000"/>
          <w:kern w:val="2"/>
          <w:sz w:val="32"/>
          <w:szCs w:val="24"/>
          <w:lang w:val="en-US"/>
        </w:rPr>
        <w:t>（类）</w:t>
      </w:r>
      <w:r>
        <w:rPr>
          <w:rFonts w:hint="eastAsia" w:ascii="Times New Roman" w:hAnsi="仿宋_GB2312" w:eastAsia="宋体"/>
          <w:b/>
          <w:color w:val="000000"/>
          <w:kern w:val="2"/>
          <w:sz w:val="32"/>
          <w:szCs w:val="24"/>
          <w:lang w:val="en-US" w:eastAsia="zh-CN"/>
        </w:rPr>
        <w:t>城乡社区环境卫生</w:t>
      </w:r>
      <w:r>
        <w:rPr>
          <w:rFonts w:hint="eastAsia" w:ascii="仿宋_GB2312" w:hAnsi="仿宋_GB2312" w:eastAsia="仿宋_GB2312"/>
          <w:b/>
          <w:color w:val="000000"/>
          <w:kern w:val="2"/>
          <w:sz w:val="32"/>
          <w:szCs w:val="24"/>
          <w:lang w:val="en-US"/>
        </w:rPr>
        <w:t>（款）</w:t>
      </w:r>
      <w:r>
        <w:rPr>
          <w:rFonts w:hint="eastAsia" w:ascii="Times New Roman" w:hAnsi="仿宋_GB2312" w:eastAsia="宋体"/>
          <w:b/>
          <w:color w:val="000000"/>
          <w:kern w:val="2"/>
          <w:sz w:val="32"/>
          <w:szCs w:val="24"/>
          <w:lang w:val="en-US" w:eastAsia="zh-CN"/>
        </w:rPr>
        <w:t>城乡社区环境卫生</w:t>
      </w:r>
      <w:r>
        <w:rPr>
          <w:rFonts w:hint="eastAsia" w:ascii="仿宋_GB2312" w:hAnsi="仿宋_GB2312" w:eastAsia="仿宋_GB2312"/>
          <w:b/>
          <w:color w:val="000000"/>
          <w:kern w:val="2"/>
          <w:sz w:val="32"/>
          <w:szCs w:val="24"/>
          <w:lang w:val="en-US"/>
        </w:rPr>
        <w:t>（项）:</w:t>
      </w:r>
      <w:r>
        <w:rPr>
          <w:rFonts w:hint="eastAsia" w:ascii="仿宋" w:hAnsi="仿宋" w:eastAsia="仿宋"/>
          <w:color w:val="auto"/>
          <w:kern w:val="2"/>
          <w:sz w:val="32"/>
          <w:szCs w:val="24"/>
          <w:lang w:val="en-US"/>
        </w:rPr>
        <w:t>支出决算为</w:t>
      </w:r>
      <w:r>
        <w:rPr>
          <w:rFonts w:hint="eastAsia" w:ascii="仿宋" w:hAnsi="仿宋" w:eastAsia="仿宋"/>
          <w:color w:val="auto"/>
          <w:kern w:val="2"/>
          <w:sz w:val="32"/>
          <w:szCs w:val="24"/>
          <w:lang w:val="en-US" w:eastAsia="zh-CN"/>
        </w:rPr>
        <w:t>507</w:t>
      </w:r>
      <w:r>
        <w:rPr>
          <w:rFonts w:hint="eastAsia" w:ascii="仿宋" w:hAnsi="仿宋" w:eastAsia="仿宋"/>
          <w:color w:val="auto"/>
          <w:kern w:val="2"/>
          <w:sz w:val="32"/>
          <w:szCs w:val="24"/>
          <w:lang w:val="en-US"/>
        </w:rPr>
        <w:t>万元，完成预算</w:t>
      </w:r>
      <w:r>
        <w:rPr>
          <w:rFonts w:hint="eastAsia" w:ascii="仿宋" w:hAnsi="仿宋" w:eastAsia="仿宋"/>
          <w:color w:val="auto"/>
          <w:kern w:val="2"/>
          <w:sz w:val="32"/>
          <w:szCs w:val="24"/>
          <w:lang w:val="en-US" w:eastAsia="zh-CN"/>
        </w:rPr>
        <w:t>100</w:t>
      </w:r>
      <w:r>
        <w:rPr>
          <w:rFonts w:hint="eastAsia" w:ascii="仿宋" w:hAnsi="仿宋" w:eastAsia="仿宋"/>
          <w:color w:val="auto"/>
          <w:kern w:val="2"/>
          <w:sz w:val="32"/>
          <w:szCs w:val="24"/>
          <w:lang w:val="en-US"/>
        </w:rPr>
        <w:t>%，决算数等于预算数的。</w:t>
      </w:r>
    </w:p>
    <w:p>
      <w:pPr>
        <w:keepNext/>
        <w:keepLines/>
        <w:spacing w:beforeLines="0" w:afterLines="0" w:line="576" w:lineRule="exact"/>
        <w:ind w:firstLine="643"/>
        <w:jc w:val="both"/>
        <w:rPr>
          <w:rFonts w:hint="eastAsia" w:ascii="仿宋" w:hAnsi="仿宋" w:eastAsia="仿宋"/>
          <w:color w:val="auto"/>
          <w:kern w:val="2"/>
          <w:sz w:val="32"/>
          <w:szCs w:val="24"/>
          <w:lang w:val="en-US"/>
        </w:rPr>
      </w:pPr>
      <w:r>
        <w:rPr>
          <w:rFonts w:hint="eastAsia" w:ascii="仿宋_GB2312" w:hAnsi="仿宋_GB2312" w:eastAsia="仿宋"/>
          <w:b/>
          <w:color w:val="000000"/>
          <w:kern w:val="2"/>
          <w:sz w:val="32"/>
          <w:szCs w:val="24"/>
          <w:lang w:val="en-US" w:eastAsia="zh-CN"/>
        </w:rPr>
        <w:t>13.住房保障支出</w:t>
      </w:r>
      <w:r>
        <w:rPr>
          <w:rFonts w:hint="eastAsia" w:ascii="仿宋_GB2312" w:hAnsi="仿宋_GB2312" w:eastAsia="仿宋_GB2312"/>
          <w:b/>
          <w:color w:val="000000"/>
          <w:kern w:val="2"/>
          <w:sz w:val="32"/>
          <w:szCs w:val="24"/>
          <w:lang w:val="en-US"/>
        </w:rPr>
        <w:t>（类）</w:t>
      </w:r>
      <w:r>
        <w:rPr>
          <w:rFonts w:hint="eastAsia" w:ascii="Times New Roman" w:hAnsi="仿宋_GB2312" w:eastAsia="宋体"/>
          <w:b/>
          <w:color w:val="000000"/>
          <w:kern w:val="2"/>
          <w:sz w:val="32"/>
          <w:szCs w:val="24"/>
          <w:lang w:val="en-US" w:eastAsia="zh-CN"/>
        </w:rPr>
        <w:t>住房保障支出</w:t>
      </w:r>
      <w:r>
        <w:rPr>
          <w:rFonts w:hint="eastAsia" w:ascii="仿宋_GB2312" w:hAnsi="仿宋_GB2312" w:eastAsia="仿宋_GB2312"/>
          <w:b/>
          <w:color w:val="000000"/>
          <w:kern w:val="2"/>
          <w:sz w:val="32"/>
          <w:szCs w:val="24"/>
          <w:lang w:val="en-US"/>
        </w:rPr>
        <w:t>（款）</w:t>
      </w:r>
      <w:r>
        <w:rPr>
          <w:rFonts w:hint="eastAsia" w:ascii="Times New Roman" w:hAnsi="仿宋_GB2312" w:eastAsia="宋体"/>
          <w:b/>
          <w:color w:val="000000"/>
          <w:kern w:val="2"/>
          <w:sz w:val="32"/>
          <w:szCs w:val="24"/>
          <w:lang w:val="en-US" w:eastAsia="zh-CN"/>
        </w:rPr>
        <w:t>住房公积金</w:t>
      </w:r>
      <w:r>
        <w:rPr>
          <w:rFonts w:hint="eastAsia" w:ascii="仿宋_GB2312" w:hAnsi="仿宋_GB2312" w:eastAsia="仿宋_GB2312"/>
          <w:b/>
          <w:color w:val="000000"/>
          <w:kern w:val="2"/>
          <w:sz w:val="32"/>
          <w:szCs w:val="24"/>
          <w:lang w:val="en-US"/>
        </w:rPr>
        <w:t>（项）:</w:t>
      </w:r>
      <w:r>
        <w:rPr>
          <w:rFonts w:hint="eastAsia" w:ascii="仿宋" w:hAnsi="仿宋" w:eastAsia="仿宋"/>
          <w:color w:val="auto"/>
          <w:kern w:val="2"/>
          <w:sz w:val="32"/>
          <w:szCs w:val="24"/>
          <w:lang w:val="en-US"/>
        </w:rPr>
        <w:t>支出决算为</w:t>
      </w:r>
      <w:r>
        <w:rPr>
          <w:rFonts w:hint="eastAsia" w:ascii="仿宋" w:hAnsi="仿宋" w:eastAsia="仿宋"/>
          <w:color w:val="auto"/>
          <w:kern w:val="2"/>
          <w:sz w:val="32"/>
          <w:szCs w:val="24"/>
          <w:lang w:val="en-US" w:eastAsia="zh-CN"/>
        </w:rPr>
        <w:t>35.42</w:t>
      </w:r>
      <w:r>
        <w:rPr>
          <w:rFonts w:hint="eastAsia" w:ascii="仿宋" w:hAnsi="仿宋" w:eastAsia="仿宋"/>
          <w:color w:val="auto"/>
          <w:kern w:val="2"/>
          <w:sz w:val="32"/>
          <w:szCs w:val="24"/>
          <w:lang w:val="en-US"/>
        </w:rPr>
        <w:t>万元，完成预算</w:t>
      </w:r>
      <w:r>
        <w:rPr>
          <w:rFonts w:hint="eastAsia" w:ascii="仿宋" w:hAnsi="仿宋" w:eastAsia="仿宋"/>
          <w:color w:val="auto"/>
          <w:kern w:val="2"/>
          <w:sz w:val="32"/>
          <w:szCs w:val="24"/>
          <w:lang w:val="en-US" w:eastAsia="zh-CN"/>
        </w:rPr>
        <w:t>100</w:t>
      </w:r>
      <w:r>
        <w:rPr>
          <w:rFonts w:hint="eastAsia" w:ascii="仿宋" w:hAnsi="仿宋" w:eastAsia="仿宋"/>
          <w:color w:val="auto"/>
          <w:kern w:val="2"/>
          <w:sz w:val="32"/>
          <w:szCs w:val="24"/>
          <w:lang w:val="en-US"/>
        </w:rPr>
        <w:t>%，决算数等于预算数的。</w:t>
      </w:r>
    </w:p>
    <w:p>
      <w:pPr>
        <w:spacing w:line="600" w:lineRule="exact"/>
        <w:ind w:firstLine="643" w:firstLineChars="200"/>
        <w:rPr>
          <w:rFonts w:hint="default" w:eastAsia="仿宋_GB2312"/>
          <w:b/>
          <w:bCs/>
          <w:lang w:val="en-US" w:eastAsia="zh-CN"/>
        </w:rPr>
      </w:pPr>
      <w:r>
        <w:rPr>
          <w:rFonts w:hint="eastAsia" w:ascii="仿宋_GB2312" w:hAnsi="仿宋_GB2312" w:eastAsia="仿宋"/>
          <w:b/>
          <w:color w:val="000000"/>
          <w:kern w:val="2"/>
          <w:sz w:val="32"/>
          <w:szCs w:val="24"/>
          <w:lang w:val="en-US" w:eastAsia="zh-CN"/>
        </w:rPr>
        <w:t>14.</w:t>
      </w:r>
      <w:r>
        <w:rPr>
          <w:rFonts w:hint="eastAsia" w:hAnsi="仿宋_GB2312"/>
          <w:b/>
          <w:color w:val="000000"/>
          <w:kern w:val="2"/>
          <w:sz w:val="32"/>
          <w:szCs w:val="24"/>
          <w:lang w:val="en-US"/>
        </w:rPr>
        <w:t>社会保障和就业支出（类）</w:t>
      </w:r>
      <w:r>
        <w:rPr>
          <w:rFonts w:hint="eastAsia" w:hAnsi="仿宋_GB2312"/>
          <w:b/>
          <w:color w:val="000000"/>
          <w:kern w:val="2"/>
          <w:sz w:val="32"/>
          <w:szCs w:val="24"/>
          <w:lang w:val="en-US" w:eastAsia="zh-CN"/>
        </w:rPr>
        <w:t>抚恤</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死亡抚恤</w:t>
      </w:r>
      <w:r>
        <w:rPr>
          <w:rFonts w:hint="eastAsia" w:hAnsi="仿宋_GB2312"/>
          <w:b/>
          <w:color w:val="000000"/>
          <w:kern w:val="2"/>
          <w:sz w:val="32"/>
          <w:szCs w:val="24"/>
          <w:lang w:val="en-US"/>
        </w:rPr>
        <w:t>（项）</w:t>
      </w:r>
      <w:r>
        <w:rPr>
          <w:rFonts w:hint="eastAsia" w:ascii="仿宋_GB2312" w:hAnsi="仿宋_GB2312" w:eastAsia="仿宋_GB2312"/>
          <w:b/>
          <w:color w:val="000000"/>
          <w:kern w:val="2"/>
          <w:sz w:val="32"/>
          <w:szCs w:val="24"/>
          <w:lang w:val="en-US"/>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Fonts w:hint="eastAsia" w:ascii="仿宋" w:hAnsi="仿宋" w:eastAsia="仿宋"/>
          <w:b/>
          <w:bCs/>
          <w:sz w:val="32"/>
          <w:szCs w:val="32"/>
          <w:lang w:val="en-US" w:eastAsia="zh-CN"/>
        </w:rPr>
        <w:t>16.84</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，决算数等于预算数。</w:t>
      </w:r>
    </w:p>
    <w:p>
      <w:pPr>
        <w:pStyle w:val="8"/>
        <w:ind w:firstLine="643" w:firstLineChars="200"/>
        <w:rPr>
          <w:rFonts w:hint="eastAsia" w:ascii="仿宋" w:hAnsi="仿宋" w:eastAsia="仿宋"/>
          <w:color w:val="auto"/>
          <w:kern w:val="2"/>
          <w:sz w:val="32"/>
          <w:szCs w:val="24"/>
          <w:lang w:val="en-US"/>
        </w:rPr>
      </w:pPr>
      <w:r>
        <w:rPr>
          <w:rFonts w:hint="eastAsia" w:ascii="仿宋_GB2312" w:hAnsi="仿宋_GB2312" w:eastAsia="仿宋"/>
          <w:b/>
          <w:color w:val="000000"/>
          <w:kern w:val="2"/>
          <w:sz w:val="32"/>
          <w:szCs w:val="24"/>
          <w:lang w:val="en-US" w:eastAsia="zh-CN"/>
        </w:rPr>
        <w:t>1</w:t>
      </w:r>
      <w:r>
        <w:rPr>
          <w:rFonts w:hint="eastAsia" w:hAnsi="仿宋_GB2312" w:eastAsia="仿宋"/>
          <w:b/>
          <w:color w:val="000000"/>
          <w:kern w:val="2"/>
          <w:sz w:val="32"/>
          <w:szCs w:val="24"/>
          <w:lang w:val="en-US" w:eastAsia="zh-CN"/>
        </w:rPr>
        <w:t>5</w:t>
      </w:r>
      <w:r>
        <w:rPr>
          <w:rFonts w:hint="eastAsia" w:ascii="仿宋_GB2312" w:hAnsi="仿宋_GB2312" w:eastAsia="仿宋"/>
          <w:b/>
          <w:color w:val="000000"/>
          <w:kern w:val="2"/>
          <w:sz w:val="32"/>
          <w:szCs w:val="24"/>
          <w:lang w:val="en-US" w:eastAsia="zh-CN"/>
        </w:rPr>
        <w:t>.</w:t>
      </w:r>
      <w:r>
        <w:rPr>
          <w:rFonts w:hint="eastAsia" w:hAnsi="仿宋_GB2312"/>
          <w:b/>
          <w:color w:val="000000"/>
          <w:kern w:val="2"/>
          <w:sz w:val="32"/>
          <w:szCs w:val="24"/>
          <w:lang w:val="en-US"/>
        </w:rPr>
        <w:t>社会保障和就业支出（类）</w:t>
      </w:r>
      <w:r>
        <w:rPr>
          <w:rFonts w:hint="eastAsia" w:hAnsi="仿宋_GB2312"/>
          <w:b/>
          <w:color w:val="000000"/>
          <w:kern w:val="2"/>
          <w:sz w:val="32"/>
          <w:szCs w:val="24"/>
          <w:lang w:val="en-US" w:eastAsia="zh-CN"/>
        </w:rPr>
        <w:t>其他社会保障和就业支出</w:t>
      </w:r>
      <w:r>
        <w:rPr>
          <w:rFonts w:hint="eastAsia" w:hAnsi="仿宋_GB2312"/>
          <w:b/>
          <w:color w:val="000000"/>
          <w:kern w:val="2"/>
          <w:sz w:val="32"/>
          <w:szCs w:val="24"/>
          <w:lang w:val="en-US"/>
        </w:rPr>
        <w:t>（款）</w:t>
      </w:r>
      <w:r>
        <w:rPr>
          <w:rFonts w:hint="eastAsia" w:hAnsi="仿宋_GB2312"/>
          <w:b/>
          <w:color w:val="000000"/>
          <w:kern w:val="2"/>
          <w:sz w:val="32"/>
          <w:szCs w:val="24"/>
          <w:lang w:val="en-US" w:eastAsia="zh-CN"/>
        </w:rPr>
        <w:t>其他社会保障和就业支出</w:t>
      </w:r>
      <w:r>
        <w:rPr>
          <w:rFonts w:hint="eastAsia" w:hAnsi="仿宋_GB2312"/>
          <w:b/>
          <w:color w:val="000000"/>
          <w:kern w:val="2"/>
          <w:sz w:val="32"/>
          <w:szCs w:val="24"/>
          <w:lang w:val="en-US"/>
        </w:rPr>
        <w:t>（项）</w:t>
      </w:r>
      <w:r>
        <w:rPr>
          <w:rFonts w:hint="eastAsia" w:ascii="仿宋_GB2312" w:hAnsi="仿宋_GB2312" w:eastAsia="仿宋_GB2312"/>
          <w:b/>
          <w:color w:val="000000"/>
          <w:kern w:val="2"/>
          <w:sz w:val="32"/>
          <w:szCs w:val="24"/>
          <w:lang w:val="en-US"/>
        </w:rPr>
        <w:t>:</w:t>
      </w:r>
      <w:r>
        <w:rPr>
          <w:rStyle w:val="17"/>
          <w:rFonts w:ascii="仿宋" w:hAnsi="仿宋" w:eastAsia="仿宋"/>
          <w:b w:val="0"/>
          <w:bCs/>
          <w:sz w:val="32"/>
          <w:szCs w:val="32"/>
        </w:rPr>
        <w:t xml:space="preserve"> </w:t>
      </w:r>
      <w:r>
        <w:rPr>
          <w:rStyle w:val="17"/>
          <w:rFonts w:hint="eastAsia" w:ascii="仿宋" w:hAnsi="仿宋" w:eastAsia="仿宋"/>
          <w:b w:val="0"/>
          <w:bCs/>
          <w:sz w:val="32"/>
          <w:szCs w:val="32"/>
        </w:rPr>
        <w:t>支出决算为</w:t>
      </w:r>
      <w:r>
        <w:rPr>
          <w:rFonts w:hint="eastAsia" w:ascii="仿宋" w:hAnsi="仿宋" w:eastAsia="仿宋"/>
          <w:b/>
          <w:bCs/>
          <w:sz w:val="32"/>
          <w:szCs w:val="32"/>
          <w:lang w:val="en-US" w:eastAsia="zh-CN"/>
        </w:rPr>
        <w:t>3.48</w:t>
      </w:r>
      <w:r>
        <w:rPr>
          <w:rStyle w:val="17"/>
          <w:rFonts w:hint="eastAsia" w:ascii="仿宋" w:hAnsi="仿宋" w:eastAsia="仿宋"/>
          <w:b w:val="0"/>
          <w:bCs/>
          <w:sz w:val="32"/>
          <w:szCs w:val="32"/>
        </w:rPr>
        <w:t>万元，完成预算</w:t>
      </w:r>
      <w:r>
        <w:rPr>
          <w:rStyle w:val="17"/>
          <w:rFonts w:hint="eastAsia" w:ascii="仿宋" w:hAnsi="仿宋" w:eastAsia="仿宋"/>
          <w:b w:val="0"/>
          <w:bCs/>
          <w:sz w:val="32"/>
          <w:szCs w:val="32"/>
          <w:lang w:val="en-US" w:eastAsia="zh-CN"/>
        </w:rPr>
        <w:t>100</w:t>
      </w:r>
      <w:r>
        <w:rPr>
          <w:rStyle w:val="17"/>
          <w:rFonts w:ascii="仿宋" w:hAnsi="仿宋" w:eastAsia="仿宋"/>
          <w:b w:val="0"/>
          <w:bCs/>
          <w:sz w:val="32"/>
          <w:szCs w:val="32"/>
        </w:rPr>
        <w:t>%</w:t>
      </w:r>
      <w:r>
        <w:rPr>
          <w:rStyle w:val="17"/>
          <w:rFonts w:hint="eastAsia" w:ascii="仿宋" w:hAnsi="仿宋" w:eastAsia="仿宋"/>
          <w:b w:val="0"/>
          <w:bCs/>
          <w:sz w:val="32"/>
          <w:szCs w:val="32"/>
        </w:rPr>
        <w:t>，决算数等于预算数。</w:t>
      </w:r>
    </w:p>
    <w:p>
      <w:pPr>
        <w:pStyle w:val="8"/>
        <w:ind w:firstLine="643" w:firstLineChars="200"/>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w:t>
      </w:r>
      <w:r>
        <w:rPr>
          <w:rFonts w:hint="eastAsia" w:ascii="仿宋" w:hAnsi="仿宋" w:eastAsia="仿宋"/>
          <w:b/>
          <w:sz w:val="32"/>
          <w:szCs w:val="32"/>
        </w:rPr>
        <w:t>1-1表和财决08表，仅罗列本单位涉及的全部功能分类科目，至项级。上述“预算”口径为全年预算数。增减变动原因为决算数</w:t>
      </w:r>
      <w:r>
        <w:rPr>
          <w:rFonts w:ascii="仿宋" w:hAnsi="仿宋" w:eastAsia="仿宋"/>
          <w:b/>
          <w:sz w:val="32"/>
          <w:szCs w:val="32"/>
        </w:rPr>
        <w:t>&lt;</w:t>
      </w:r>
      <w:r>
        <w:rPr>
          <w:rFonts w:hint="eastAsia" w:ascii="仿宋" w:hAnsi="仿宋" w:eastAsia="仿宋"/>
          <w:b/>
          <w:sz w:val="32"/>
          <w:szCs w:val="32"/>
        </w:rPr>
        <w:t>项级</w:t>
      </w:r>
      <w:r>
        <w:rPr>
          <w:rFonts w:ascii="仿宋" w:hAnsi="仿宋" w:eastAsia="仿宋"/>
          <w:b/>
          <w:sz w:val="32"/>
          <w:szCs w:val="32"/>
        </w:rPr>
        <w:t>&gt;</w:t>
      </w:r>
      <w:r>
        <w:rPr>
          <w:rFonts w:hint="eastAsia" w:ascii="仿宋" w:hAnsi="仿宋" w:eastAsia="仿宋"/>
          <w:b/>
          <w:sz w:val="32"/>
          <w:szCs w:val="32"/>
        </w:rPr>
        <w:t>和全年预算数</w:t>
      </w:r>
      <w:r>
        <w:rPr>
          <w:rFonts w:ascii="仿宋" w:hAnsi="仿宋" w:eastAsia="仿宋"/>
          <w:b/>
          <w:sz w:val="32"/>
          <w:szCs w:val="32"/>
        </w:rPr>
        <w:t>&lt;</w:t>
      </w:r>
      <w:r>
        <w:rPr>
          <w:rFonts w:hint="eastAsia" w:ascii="仿宋" w:hAnsi="仿宋" w:eastAsia="仿宋"/>
          <w:b/>
          <w:sz w:val="32"/>
          <w:szCs w:val="32"/>
        </w:rPr>
        <w:t>项级</w:t>
      </w:r>
      <w:r>
        <w:rPr>
          <w:rFonts w:ascii="仿宋" w:hAnsi="仿宋" w:eastAsia="仿宋"/>
          <w:b/>
          <w:sz w:val="32"/>
          <w:szCs w:val="32"/>
        </w:rPr>
        <w:t>&gt;</w:t>
      </w:r>
      <w:r>
        <w:rPr>
          <w:rFonts w:hint="eastAsia" w:ascii="仿宋" w:hAnsi="仿宋" w:eastAsia="仿宋"/>
          <w:b/>
          <w:sz w:val="32"/>
          <w:szCs w:val="32"/>
        </w:rPr>
        <w:t>比较，与预算数持平可以不写原因。）</w:t>
      </w:r>
    </w:p>
    <w:p>
      <w:pPr>
        <w:spacing w:line="600" w:lineRule="exact"/>
        <w:ind w:firstLine="640"/>
        <w:rPr>
          <w:rFonts w:ascii="仿宋" w:hAnsi="仿宋" w:eastAsia="仿宋"/>
          <w:b/>
          <w:sz w:val="32"/>
          <w:szCs w:val="32"/>
        </w:rPr>
      </w:pPr>
    </w:p>
    <w:p>
      <w:pPr>
        <w:tabs>
          <w:tab w:val="right" w:pos="8306"/>
        </w:tabs>
        <w:spacing w:line="600" w:lineRule="exact"/>
        <w:ind w:firstLine="640"/>
        <w:outlineLvl w:val="1"/>
        <w:rPr>
          <w:rStyle w:val="29"/>
        </w:rPr>
      </w:pPr>
      <w:bookmarkStart w:id="34" w:name="_Toc15396608"/>
      <w:bookmarkStart w:id="35"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9"/>
          <w:rFonts w:hint="eastAsia" w:ascii="黑体" w:hAnsi="黑体" w:eastAsia="黑体"/>
          <w:b w:val="0"/>
        </w:rPr>
        <w:t>般公共预算财政拨款基本支出决算情况说明</w:t>
      </w:r>
      <w:bookmarkEnd w:id="34"/>
      <w:bookmarkEnd w:id="35"/>
      <w:r>
        <w:rPr>
          <w:rStyle w:val="29"/>
          <w:rFonts w:ascii="黑体" w:hAnsi="黑体" w:eastAsia="黑体"/>
          <w:b w:val="0"/>
        </w:rPr>
        <w:tab/>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2024年度一般公共预算财政拨款基本支出</w:t>
      </w:r>
      <w:r>
        <w:rPr>
          <w:rFonts w:hint="eastAsia" w:ascii="仿宋_GB2312" w:hAnsi="仿宋_GB2312" w:eastAsia="仿宋_GB2312" w:cs="仿宋_GB2312"/>
          <w:sz w:val="32"/>
          <w:szCs w:val="32"/>
        </w:rPr>
        <w:t>2130.49</w:t>
      </w:r>
      <w:r>
        <w:rPr>
          <w:rFonts w:hint="eastAsia" w:ascii="仿宋_GB2312" w:hAnsi="仿宋_GB2312" w:eastAsia="仿宋_GB2312" w:cs="仿宋_GB2312"/>
          <w:color w:val="auto"/>
          <w:kern w:val="2"/>
          <w:sz w:val="32"/>
          <w:szCs w:val="32"/>
          <w:highlight w:val="none"/>
          <w:lang w:val="en-US" w:eastAsia="zh-CN" w:bidi="ar-SA"/>
        </w:rPr>
        <w:t>万</w:t>
      </w:r>
      <w:r>
        <w:rPr>
          <w:rFonts w:hint="eastAsia" w:ascii="Times New Roman" w:hAnsi="Times New Roman" w:eastAsia="仿宋_GB2312" w:cs="仿宋_GB2312"/>
          <w:color w:val="auto"/>
          <w:kern w:val="2"/>
          <w:sz w:val="32"/>
          <w:szCs w:val="32"/>
          <w:highlight w:val="none"/>
          <w:lang w:val="en-US" w:eastAsia="zh-CN" w:bidi="ar-SA"/>
        </w:rPr>
        <w:t>元，其中：</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人员经费</w:t>
      </w:r>
      <w:r>
        <w:rPr>
          <w:rFonts w:hint="eastAsia" w:ascii="仿宋_GB2312" w:hAnsi="仿宋_GB2312" w:eastAsia="仿宋_GB2312" w:cs="仿宋_GB2312"/>
          <w:sz w:val="32"/>
          <w:szCs w:val="32"/>
        </w:rPr>
        <w:t>2090.36</w:t>
      </w:r>
      <w:r>
        <w:rPr>
          <w:rFonts w:hint="eastAsia" w:ascii="仿宋_GB2312" w:hAnsi="仿宋_GB2312" w:eastAsia="仿宋_GB2312" w:cs="仿宋_GB2312"/>
          <w:color w:val="auto"/>
          <w:kern w:val="2"/>
          <w:sz w:val="32"/>
          <w:szCs w:val="32"/>
          <w:highlight w:val="none"/>
          <w:lang w:val="en-US" w:eastAsia="zh-CN" w:bidi="ar-SA"/>
        </w:rPr>
        <w:t>万</w:t>
      </w:r>
      <w:r>
        <w:rPr>
          <w:rFonts w:hint="eastAsia" w:ascii="Times New Roman" w:hAnsi="Times New Roman" w:eastAsia="仿宋_GB2312" w:cs="仿宋_GB2312"/>
          <w:color w:val="auto"/>
          <w:kern w:val="2"/>
          <w:sz w:val="32"/>
          <w:szCs w:val="32"/>
          <w:highlight w:val="none"/>
          <w:lang w:val="en-US" w:eastAsia="zh-CN" w:bidi="ar-SA"/>
        </w:rPr>
        <w:t>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r>
        <w:rPr>
          <w:rFonts w:hint="eastAsia" w:ascii="Times New Roman" w:hAnsi="Times New Roman" w:eastAsia="仿宋_GB2312" w:cs="仿宋_GB2312"/>
          <w:color w:val="auto"/>
          <w:kern w:val="2"/>
          <w:sz w:val="32"/>
          <w:szCs w:val="32"/>
          <w:highlight w:val="none"/>
          <w:lang w:val="en-US" w:eastAsia="zh-CN" w:bidi="ar-SA"/>
        </w:rPr>
        <w:br w:type="textWrapping"/>
      </w:r>
      <w:r>
        <w:rPr>
          <w:rFonts w:hint="eastAsia" w:ascii="Times New Roman" w:hAnsi="Times New Roman" w:eastAsia="仿宋_GB2312" w:cs="仿宋_GB2312"/>
          <w:color w:val="auto"/>
          <w:kern w:val="2"/>
          <w:sz w:val="32"/>
          <w:szCs w:val="32"/>
          <w:highlight w:val="none"/>
          <w:lang w:val="en-US" w:eastAsia="zh-CN" w:bidi="ar-SA"/>
        </w:rPr>
        <w:t>　　公用经费</w:t>
      </w:r>
      <w:r>
        <w:rPr>
          <w:rFonts w:hint="eastAsia" w:ascii="仿宋_GB2312" w:hAnsi="仿宋_GB2312" w:eastAsia="仿宋_GB2312" w:cs="仿宋_GB2312"/>
          <w:sz w:val="32"/>
          <w:szCs w:val="32"/>
        </w:rPr>
        <w:t>40.13</w:t>
      </w:r>
      <w:r>
        <w:rPr>
          <w:rFonts w:hint="eastAsia" w:ascii="仿宋_GB2312" w:hAnsi="仿宋_GB2312" w:eastAsia="仿宋_GB2312" w:cs="仿宋_GB2312"/>
          <w:color w:val="auto"/>
          <w:kern w:val="2"/>
          <w:sz w:val="32"/>
          <w:szCs w:val="32"/>
          <w:highlight w:val="none"/>
          <w:lang w:val="en-US" w:eastAsia="zh-CN" w:bidi="ar-SA"/>
        </w:rPr>
        <w:t>万</w:t>
      </w:r>
      <w:r>
        <w:rPr>
          <w:rFonts w:hint="eastAsia" w:ascii="Times New Roman" w:hAnsi="Times New Roman" w:eastAsia="仿宋_GB2312" w:cs="仿宋_GB2312"/>
          <w:color w:val="auto"/>
          <w:kern w:val="2"/>
          <w:sz w:val="32"/>
          <w:szCs w:val="32"/>
          <w:highlight w:val="none"/>
          <w:lang w:val="en-US" w:eastAsia="zh-CN" w:bidi="ar-SA"/>
        </w:rPr>
        <w:t>元，主要包括：办公费、印刷费、咨询费、手续费、水费、电费、邮电费、取暖费、物业管理费、差旅费、因公出国（境）费用、维修（护）费、租赁费、会议费、培训费、公务接待费、劳务费、委托业务费、工会经费、福利费、公务用车运行维护费、其他交通费、税金及附加费用、其他商品和服务支出、办公设备购置、专用设备购置、信息网络及软件购置更新、其他资本性支出等。</w:t>
      </w:r>
    </w:p>
    <w:p>
      <w:pPr>
        <w:spacing w:line="600" w:lineRule="exact"/>
        <w:ind w:firstLine="645"/>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w:t>
      </w:r>
      <w:r>
        <w:rPr>
          <w:rFonts w:hint="eastAsia" w:ascii="仿宋" w:hAnsi="仿宋" w:eastAsia="仿宋"/>
          <w:b/>
          <w:sz w:val="32"/>
          <w:szCs w:val="32"/>
        </w:rPr>
        <w:t>7表和财决08-1表，仅罗列本单位实际支出涉及的经济分类科目。）</w:t>
      </w:r>
    </w:p>
    <w:p>
      <w:pPr>
        <w:spacing w:line="600" w:lineRule="exact"/>
        <w:ind w:firstLine="640"/>
        <w:rPr>
          <w:rFonts w:ascii="仿宋" w:hAnsi="仿宋" w:eastAsia="仿宋"/>
          <w:b/>
          <w:sz w:val="32"/>
          <w:szCs w:val="32"/>
        </w:rPr>
      </w:pPr>
    </w:p>
    <w:p>
      <w:pPr>
        <w:spacing w:line="600" w:lineRule="exact"/>
        <w:ind w:firstLine="640"/>
        <w:outlineLvl w:val="1"/>
        <w:rPr>
          <w:rStyle w:val="29"/>
          <w:rFonts w:ascii="黑体" w:hAnsi="黑体" w:eastAsia="黑体"/>
          <w:b w:val="0"/>
        </w:rPr>
      </w:pPr>
      <w:bookmarkStart w:id="36" w:name="_Toc15377215"/>
      <w:bookmarkStart w:id="37" w:name="_Toc15396609"/>
      <w:r>
        <w:rPr>
          <w:rFonts w:hint="eastAsia" w:ascii="黑体" w:eastAsia="黑体"/>
          <w:sz w:val="32"/>
          <w:szCs w:val="32"/>
        </w:rPr>
        <w:t>七、</w:t>
      </w:r>
      <w:r>
        <w:rPr>
          <w:rStyle w:val="29"/>
          <w:rFonts w:hint="eastAsia" w:ascii="黑体" w:hAnsi="黑体" w:eastAsia="黑体"/>
          <w:b w:val="0"/>
        </w:rPr>
        <w:t>财政拨款</w:t>
      </w:r>
      <w:r>
        <w:rPr>
          <w:rStyle w:val="29"/>
          <w:rFonts w:hint="eastAsia" w:ascii="黑体" w:hAnsi="黑体" w:eastAsia="黑体"/>
        </w:rPr>
        <w:t>“</w:t>
      </w:r>
      <w:r>
        <w:rPr>
          <w:rStyle w:val="29"/>
          <w:rFonts w:hint="eastAsia" w:ascii="黑体" w:hAnsi="黑体" w:eastAsia="黑体"/>
          <w:b w:val="0"/>
        </w:rPr>
        <w:t>三公”经费支出决算情况说明</w:t>
      </w:r>
      <w:bookmarkEnd w:id="36"/>
      <w:bookmarkEnd w:id="37"/>
    </w:p>
    <w:p>
      <w:pPr>
        <w:spacing w:line="600" w:lineRule="exact"/>
        <w:ind w:firstLine="640"/>
        <w:outlineLvl w:val="2"/>
        <w:rPr>
          <w:rFonts w:ascii="仿宋" w:hAnsi="仿宋" w:eastAsia="仿宋"/>
          <w:b/>
          <w:sz w:val="32"/>
          <w:szCs w:val="32"/>
        </w:rPr>
      </w:pPr>
      <w:bookmarkStart w:id="38" w:name="_Toc15377216"/>
      <w:r>
        <w:rPr>
          <w:rFonts w:hint="eastAsia" w:ascii="仿宋" w:hAnsi="仿宋" w:eastAsia="仿宋"/>
          <w:b/>
          <w:sz w:val="32"/>
          <w:szCs w:val="32"/>
        </w:rPr>
        <w:t>（一）“三公”经费财政拨款支出决算总体情况说明</w:t>
      </w:r>
      <w:bookmarkEnd w:id="38"/>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2024年度“三公”经费财政拨款支出决算为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万元，完成预算</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w:t>
      </w:r>
      <w:r>
        <w:rPr>
          <w:rFonts w:hint="eastAsia" w:ascii="Times New Roman" w:hAnsi="Times New Roman" w:eastAsia="仿宋_GB2312" w:cs="仿宋_GB2312"/>
          <w:color w:val="auto"/>
          <w:kern w:val="2"/>
          <w:sz w:val="32"/>
          <w:szCs w:val="32"/>
          <w:highlight w:val="none"/>
          <w:lang w:val="en-US" w:eastAsia="zh-CN" w:bidi="ar-SA"/>
        </w:rPr>
        <w:t>较上年度增加/减少**万元，增长/下降**%。决算数小于预算数（或与预算数持平）的主要原因是……</w:t>
      </w:r>
    </w:p>
    <w:p>
      <w:pPr>
        <w:spacing w:line="600" w:lineRule="exact"/>
        <w:ind w:firstLine="640"/>
        <w:rPr>
          <w:rFonts w:hint="eastAsia" w:ascii="Times New Roman" w:hAnsi="Times New Roman" w:eastAsia="仿宋_GB2312" w:cs="仿宋_GB2312"/>
          <w:b/>
          <w:bCs/>
          <w:color w:val="auto"/>
          <w:kern w:val="2"/>
          <w:sz w:val="32"/>
          <w:szCs w:val="32"/>
          <w:highlight w:val="none"/>
          <w:lang w:val="en-US" w:eastAsia="zh-CN" w:bidi="ar-SA"/>
        </w:rPr>
      </w:pPr>
      <w:r>
        <w:rPr>
          <w:rFonts w:hint="eastAsia" w:ascii="Times New Roman" w:hAnsi="Times New Roman" w:eastAsia="仿宋_GB2312" w:cs="仿宋_GB2312"/>
          <w:b/>
          <w:bCs/>
          <w:color w:val="auto"/>
          <w:kern w:val="2"/>
          <w:sz w:val="32"/>
          <w:szCs w:val="32"/>
          <w:highlight w:val="none"/>
          <w:lang w:val="en-US" w:eastAsia="zh-CN" w:bidi="ar-SA"/>
        </w:rPr>
        <w:t>（注：上述“预算”口径为全年预算数，包括一般公共预算和政府性基金预算财政拨款支出决算情况）</w:t>
      </w:r>
    </w:p>
    <w:p>
      <w:pPr>
        <w:spacing w:line="600" w:lineRule="exact"/>
        <w:ind w:firstLine="643" w:firstLineChars="200"/>
        <w:outlineLvl w:val="2"/>
        <w:rPr>
          <w:rFonts w:hint="eastAsia" w:ascii="Times New Roman" w:hAnsi="Times New Roman" w:eastAsia="楷体_GB2312" w:cs="楷体_GB2312"/>
          <w:b/>
          <w:color w:val="auto"/>
          <w:sz w:val="32"/>
          <w:szCs w:val="32"/>
          <w:highlight w:val="none"/>
        </w:rPr>
      </w:pPr>
      <w:bookmarkStart w:id="39" w:name="_Toc15377217"/>
      <w:r>
        <w:rPr>
          <w:rFonts w:hint="eastAsia" w:ascii="Times New Roman" w:hAnsi="Times New Roman" w:eastAsia="楷体_GB2312" w:cs="楷体_GB2312"/>
          <w:b/>
          <w:color w:val="auto"/>
          <w:sz w:val="32"/>
          <w:szCs w:val="32"/>
          <w:highlight w:val="none"/>
        </w:rPr>
        <w:t>（二）“三公”经费财政拨款支出决算具体情况说明</w:t>
      </w:r>
      <w:bookmarkEnd w:id="39"/>
    </w:p>
    <w:p>
      <w:pPr>
        <w:spacing w:line="600" w:lineRule="exact"/>
        <w:ind w:firstLine="640"/>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2024年度“三公”经费财政拨款支出决算中，因公出国（境）费支出决算</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万元，占**%；公务用车购置及运行维护费支出决算</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万元，占**%；公务接待费支出决算</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万元，占**%。具体情况如下：</w:t>
      </w:r>
    </w:p>
    <w:p>
      <w:pPr>
        <w:pStyle w:val="3"/>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olor w:val="000000"/>
          <w:kern w:val="2"/>
          <w:sz w:val="32"/>
          <w:szCs w:val="24"/>
          <w:lang w:val="zh-CN"/>
        </w:rPr>
        <w:drawing>
          <wp:inline distT="0" distB="0" distL="114300" distR="114300">
            <wp:extent cx="4762500" cy="2834640"/>
            <wp:effectExtent l="0" t="0" r="7620" b="0"/>
            <wp:docPr id="1" name="图片 1"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7"/>
                    <pic:cNvPicPr>
                      <a:picLocks noChangeAspect="1"/>
                    </pic:cNvPicPr>
                  </pic:nvPicPr>
                  <pic:blipFill>
                    <a:blip r:embed="rId11"/>
                    <a:stretch>
                      <a:fillRect/>
                    </a:stretch>
                  </pic:blipFill>
                  <pic:spPr>
                    <a:xfrm>
                      <a:off x="0" y="0"/>
                      <a:ext cx="4762500" cy="2834640"/>
                    </a:xfrm>
                    <a:prstGeom prst="rect">
                      <a:avLst/>
                    </a:prstGeom>
                    <a:noFill/>
                    <a:ln>
                      <a:noFill/>
                    </a:ln>
                  </pic:spPr>
                </pic:pic>
              </a:graphicData>
            </a:graphic>
          </wp:inline>
        </w:drawing>
      </w:r>
    </w:p>
    <w:p>
      <w:pPr>
        <w:spacing w:line="600" w:lineRule="exact"/>
        <w:ind w:firstLine="960" w:firstLineChars="30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（图7：“三公”经费财政拨款支出结构）（饼状图）</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b/>
          <w:bCs/>
          <w:color w:val="auto"/>
          <w:kern w:val="2"/>
          <w:sz w:val="32"/>
          <w:szCs w:val="32"/>
          <w:highlight w:val="none"/>
          <w:lang w:val="en-US" w:eastAsia="zh-CN" w:bidi="ar-SA"/>
        </w:rPr>
        <w:t>1.因公出国（境）经费支出**万元，完成预算**%。</w:t>
      </w:r>
      <w:r>
        <w:rPr>
          <w:rFonts w:hint="eastAsia" w:ascii="Times New Roman" w:hAnsi="Times New Roman" w:eastAsia="仿宋_GB2312" w:cs="仿宋_GB2312"/>
          <w:color w:val="auto"/>
          <w:kern w:val="2"/>
          <w:sz w:val="32"/>
          <w:szCs w:val="32"/>
          <w:highlight w:val="none"/>
          <w:lang w:val="en-US" w:eastAsia="zh-CN" w:bidi="ar-SA"/>
        </w:rPr>
        <w:t>全年安排因公出国（境）团</w:t>
      </w:r>
      <w:r>
        <w:rPr>
          <w:rFonts w:hint="eastAsia" w:ascii="仿宋_GB2312" w:hAnsi="仿宋_GB2312" w:eastAsia="仿宋_GB2312" w:cs="仿宋_GB2312"/>
          <w:color w:val="auto"/>
          <w:kern w:val="2"/>
          <w:sz w:val="32"/>
          <w:szCs w:val="32"/>
          <w:highlight w:val="none"/>
          <w:lang w:val="en-US" w:eastAsia="zh-CN" w:bidi="ar-SA"/>
        </w:rPr>
        <w:t>组</w:t>
      </w:r>
      <w:r>
        <w:rPr>
          <w:rFonts w:hint="eastAsia" w:ascii="仿宋_GB2312" w:hAnsi="仿宋_GB2312" w:eastAsia="仿宋_GB2312" w:cs="仿宋_GB2312"/>
          <w:sz w:val="32"/>
          <w:szCs w:val="32"/>
        </w:rPr>
        <w:t>0</w:t>
      </w:r>
      <w:r>
        <w:rPr>
          <w:rFonts w:hint="eastAsia" w:ascii="Times New Roman" w:hAnsi="Times New Roman" w:eastAsia="仿宋_GB2312" w:cs="仿宋_GB2312"/>
          <w:color w:val="auto"/>
          <w:kern w:val="2"/>
          <w:sz w:val="32"/>
          <w:szCs w:val="32"/>
          <w:highlight w:val="none"/>
          <w:lang w:val="en-US" w:eastAsia="zh-CN" w:bidi="ar-SA"/>
        </w:rPr>
        <w:t>次，出国（境）</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人</w:t>
      </w:r>
      <w:r>
        <w:rPr>
          <w:rFonts w:hint="eastAsia" w:ascii="Times New Roman" w:hAnsi="Times New Roman" w:eastAsia="仿宋_GB2312" w:cs="仿宋_GB2312"/>
          <w:color w:val="auto"/>
          <w:kern w:val="2"/>
          <w:sz w:val="32"/>
          <w:szCs w:val="32"/>
          <w:highlight w:val="none"/>
          <w:lang w:val="en-US" w:eastAsia="zh-CN" w:bidi="ar-SA"/>
        </w:rPr>
        <w:t>。因公出国（境）支出决算比2023年增加/减少**万元，增长/下降**%。主要原因是……</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开支内容包括：……（团组名称、出访地点、取得成效等）</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b/>
          <w:bCs/>
          <w:color w:val="auto"/>
          <w:kern w:val="2"/>
          <w:sz w:val="32"/>
          <w:szCs w:val="32"/>
          <w:highlight w:val="none"/>
          <w:lang w:val="en-US" w:eastAsia="zh-CN" w:bidi="ar-SA"/>
        </w:rPr>
        <w:t>2.公务用车购置及运行维护费支出</w:t>
      </w:r>
      <w:r>
        <w:rPr>
          <w:rFonts w:hint="eastAsia" w:ascii="仿宋_GB2312" w:hAnsi="仿宋_GB2312" w:eastAsia="仿宋_GB2312" w:cs="仿宋_GB2312"/>
          <w:b/>
          <w:bCs/>
          <w:color w:val="auto"/>
          <w:kern w:val="2"/>
          <w:sz w:val="32"/>
          <w:szCs w:val="32"/>
          <w:highlight w:val="none"/>
          <w:lang w:val="en-US" w:eastAsia="zh-CN" w:bidi="ar-SA"/>
        </w:rPr>
        <w:t>0万</w:t>
      </w:r>
      <w:r>
        <w:rPr>
          <w:rFonts w:hint="eastAsia" w:ascii="Times New Roman" w:hAnsi="Times New Roman" w:eastAsia="仿宋_GB2312" w:cs="仿宋_GB2312"/>
          <w:b/>
          <w:bCs/>
          <w:color w:val="auto"/>
          <w:kern w:val="2"/>
          <w:sz w:val="32"/>
          <w:szCs w:val="32"/>
          <w:highlight w:val="none"/>
          <w:lang w:val="en-US" w:eastAsia="zh-CN" w:bidi="ar-SA"/>
        </w:rPr>
        <w:t>元</w:t>
      </w:r>
      <w:r>
        <w:rPr>
          <w:rFonts w:hint="eastAsia" w:eastAsia="仿宋_GB2312" w:cs="仿宋_GB2312"/>
          <w:b/>
          <w:bCs/>
          <w:color w:val="auto"/>
          <w:kern w:val="2"/>
          <w:sz w:val="32"/>
          <w:szCs w:val="32"/>
          <w:highlight w:val="none"/>
          <w:lang w:val="en-US" w:eastAsia="zh-CN" w:bidi="ar-SA"/>
        </w:rPr>
        <w:t>，</w:t>
      </w:r>
      <w:r>
        <w:rPr>
          <w:rFonts w:hint="eastAsia" w:ascii="Times New Roman" w:hAnsi="Times New Roman" w:eastAsia="仿宋_GB2312" w:cs="仿宋_GB2312"/>
          <w:b/>
          <w:bCs/>
          <w:color w:val="auto"/>
          <w:kern w:val="2"/>
          <w:sz w:val="32"/>
          <w:szCs w:val="32"/>
          <w:highlight w:val="none"/>
          <w:lang w:val="en-US" w:eastAsia="zh-CN" w:bidi="ar-SA"/>
        </w:rPr>
        <w:t>完成预算**%。</w:t>
      </w:r>
      <w:r>
        <w:rPr>
          <w:rFonts w:hint="eastAsia" w:ascii="Times New Roman" w:hAnsi="Times New Roman" w:eastAsia="仿宋_GB2312" w:cs="仿宋_GB2312"/>
          <w:color w:val="auto"/>
          <w:kern w:val="2"/>
          <w:sz w:val="32"/>
          <w:szCs w:val="32"/>
          <w:highlight w:val="none"/>
          <w:lang w:val="en-US" w:eastAsia="zh-CN" w:bidi="ar-SA"/>
        </w:rPr>
        <w:t>公务用车购置及运行维护费支出决算比2023年度增加/减少**万元，增长/下降**%。主要原因是……</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其中：公务用车购置支</w:t>
      </w:r>
      <w:r>
        <w:rPr>
          <w:rFonts w:hint="eastAsia" w:ascii="仿宋_GB2312" w:hAnsi="仿宋_GB2312" w:eastAsia="仿宋_GB2312" w:cs="仿宋_GB2312"/>
          <w:color w:val="auto"/>
          <w:kern w:val="2"/>
          <w:sz w:val="32"/>
          <w:szCs w:val="32"/>
          <w:highlight w:val="none"/>
          <w:lang w:val="en-US" w:eastAsia="zh-CN" w:bidi="ar-SA"/>
        </w:rPr>
        <w:t>出</w:t>
      </w:r>
      <w:r>
        <w:rPr>
          <w:rFonts w:hint="eastAsia" w:ascii="仿宋_GB2312" w:hAnsi="仿宋_GB2312" w:eastAsia="仿宋_GB2312" w:cs="仿宋_GB2312"/>
          <w:sz w:val="32"/>
          <w:szCs w:val="32"/>
        </w:rPr>
        <w:t>0</w:t>
      </w:r>
      <w:r>
        <w:rPr>
          <w:rFonts w:hint="eastAsia" w:ascii="Times New Roman" w:hAnsi="Times New Roman" w:eastAsia="仿宋_GB2312" w:cs="仿宋_GB2312"/>
          <w:color w:val="auto"/>
          <w:kern w:val="2"/>
          <w:sz w:val="32"/>
          <w:szCs w:val="32"/>
          <w:highlight w:val="none"/>
          <w:lang w:val="en-US" w:eastAsia="zh-CN" w:bidi="ar-SA"/>
        </w:rPr>
        <w:t>万元。全年按规定更新购置公务用车**辆，其中：轿车**辆、金额**万元，越野车**辆、金额**万元，载客汽车**辆、金额**万元，主要用于……。截至2024年12月31日，单位共有公务用车**辆，其中：轿车**辆、越野车**辆、载客汽车**辆。</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公务用车运行维护费支</w:t>
      </w:r>
      <w:r>
        <w:rPr>
          <w:rFonts w:hint="eastAsia" w:ascii="仿宋_GB2312" w:hAnsi="仿宋_GB2312" w:eastAsia="仿宋_GB2312" w:cs="仿宋_GB2312"/>
          <w:color w:val="auto"/>
          <w:kern w:val="2"/>
          <w:sz w:val="32"/>
          <w:szCs w:val="32"/>
          <w:highlight w:val="none"/>
          <w:lang w:val="en-US" w:eastAsia="zh-CN" w:bidi="ar-SA"/>
        </w:rPr>
        <w:t>出</w:t>
      </w:r>
      <w:r>
        <w:rPr>
          <w:rFonts w:hint="eastAsia" w:ascii="仿宋_GB2312" w:hAnsi="仿宋_GB2312" w:eastAsia="仿宋_GB2312" w:cs="仿宋_GB2312"/>
          <w:sz w:val="32"/>
          <w:szCs w:val="32"/>
        </w:rPr>
        <w:t>0</w:t>
      </w:r>
      <w:r>
        <w:rPr>
          <w:rFonts w:hint="eastAsia" w:ascii="Times New Roman" w:hAnsi="Times New Roman" w:eastAsia="仿宋_GB2312" w:cs="仿宋_GB2312"/>
          <w:color w:val="auto"/>
          <w:kern w:val="2"/>
          <w:sz w:val="32"/>
          <w:szCs w:val="32"/>
          <w:highlight w:val="none"/>
          <w:lang w:val="en-US" w:eastAsia="zh-CN" w:bidi="ar-SA"/>
        </w:rPr>
        <w:t>万元。主要用于……（具体工作）所需的公务用车燃料费、维修费、过路过桥费、保险费等支出。</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b/>
          <w:bCs/>
          <w:color w:val="auto"/>
          <w:kern w:val="2"/>
          <w:sz w:val="32"/>
          <w:szCs w:val="32"/>
          <w:highlight w:val="none"/>
          <w:lang w:val="en-US" w:eastAsia="zh-CN" w:bidi="ar-SA"/>
        </w:rPr>
        <w:t>3.公务接待费支出</w:t>
      </w:r>
      <w:r>
        <w:rPr>
          <w:rFonts w:hint="eastAsia" w:ascii="仿宋_GB2312" w:hAnsi="仿宋_GB2312" w:eastAsia="仿宋_GB2312" w:cs="仿宋_GB2312"/>
          <w:b/>
          <w:bCs/>
          <w:color w:val="auto"/>
          <w:kern w:val="2"/>
          <w:sz w:val="32"/>
          <w:szCs w:val="32"/>
          <w:highlight w:val="none"/>
          <w:lang w:val="en-US" w:eastAsia="zh-CN" w:bidi="ar-SA"/>
        </w:rPr>
        <w:t>0万</w:t>
      </w:r>
      <w:r>
        <w:rPr>
          <w:rFonts w:hint="eastAsia" w:ascii="Times New Roman" w:hAnsi="Times New Roman" w:eastAsia="仿宋_GB2312" w:cs="仿宋_GB2312"/>
          <w:b/>
          <w:bCs/>
          <w:color w:val="auto"/>
          <w:kern w:val="2"/>
          <w:sz w:val="32"/>
          <w:szCs w:val="32"/>
          <w:highlight w:val="none"/>
          <w:lang w:val="en-US" w:eastAsia="zh-CN" w:bidi="ar-SA"/>
        </w:rPr>
        <w:t>元，完成预算**%。</w:t>
      </w:r>
      <w:r>
        <w:rPr>
          <w:rFonts w:hint="eastAsia" w:ascii="Times New Roman" w:hAnsi="Times New Roman" w:eastAsia="仿宋_GB2312" w:cs="仿宋_GB2312"/>
          <w:color w:val="auto"/>
          <w:kern w:val="2"/>
          <w:sz w:val="32"/>
          <w:szCs w:val="32"/>
          <w:highlight w:val="none"/>
          <w:lang w:val="en-US" w:eastAsia="zh-CN" w:bidi="ar-SA"/>
        </w:rPr>
        <w:t>公务接待费支出决算比2023年度增加/减少**万元，增长/下降**%。主要原因是……。其中：</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国内公务接待支</w:t>
      </w:r>
      <w:r>
        <w:rPr>
          <w:rFonts w:hint="eastAsia" w:ascii="仿宋_GB2312" w:hAnsi="仿宋_GB2312" w:eastAsia="仿宋_GB2312" w:cs="仿宋_GB2312"/>
          <w:color w:val="auto"/>
          <w:kern w:val="2"/>
          <w:sz w:val="32"/>
          <w:szCs w:val="32"/>
          <w:highlight w:val="none"/>
          <w:lang w:val="en-US" w:eastAsia="zh-CN" w:bidi="ar-SA"/>
        </w:rPr>
        <w:t>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w:t>
      </w:r>
      <w:r>
        <w:rPr>
          <w:rFonts w:hint="eastAsia" w:ascii="Times New Roman" w:hAnsi="Times New Roman" w:eastAsia="仿宋_GB2312" w:cs="仿宋_GB2312"/>
          <w:color w:val="auto"/>
          <w:kern w:val="2"/>
          <w:sz w:val="32"/>
          <w:szCs w:val="32"/>
          <w:highlight w:val="none"/>
          <w:lang w:val="en-US" w:eastAsia="zh-CN" w:bidi="ar-SA"/>
        </w:rPr>
        <w:t>元，主要用于……(执行公务、开展业务活动开支的交通费、住宿费、用餐费等)。国内公务接</w:t>
      </w:r>
      <w:r>
        <w:rPr>
          <w:rFonts w:hint="eastAsia" w:ascii="仿宋_GB2312" w:hAnsi="仿宋_GB2312" w:eastAsia="仿宋_GB2312" w:cs="仿宋_GB2312"/>
          <w:color w:val="auto"/>
          <w:kern w:val="2"/>
          <w:sz w:val="32"/>
          <w:szCs w:val="32"/>
          <w:highlight w:val="none"/>
          <w:lang w:val="en-US" w:eastAsia="zh-CN" w:bidi="ar-SA"/>
        </w:rPr>
        <w:t>待</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批次，</w:t>
      </w:r>
      <w:r>
        <w:rPr>
          <w:rFonts w:hint="eastAsia" w:ascii="仿宋_GB2312" w:hAnsi="仿宋_GB2312" w:eastAsia="仿宋_GB2312" w:cs="仿宋_GB2312"/>
          <w:sz w:val="32"/>
          <w:szCs w:val="32"/>
        </w:rPr>
        <w:t>0</w:t>
      </w:r>
      <w:r>
        <w:rPr>
          <w:rFonts w:hint="eastAsia" w:ascii="Times New Roman" w:hAnsi="Times New Roman" w:eastAsia="仿宋_GB2312" w:cs="仿宋_GB2312"/>
          <w:color w:val="auto"/>
          <w:kern w:val="2"/>
          <w:sz w:val="32"/>
          <w:szCs w:val="32"/>
          <w:highlight w:val="none"/>
          <w:lang w:val="en-US" w:eastAsia="zh-CN" w:bidi="ar-SA"/>
        </w:rPr>
        <w:t>人次（不包括陪同人员），共计支出**万元，具体内容包括：……（接待具体项目、金额）。</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外事接待支</w:t>
      </w:r>
      <w:r>
        <w:rPr>
          <w:rFonts w:hint="eastAsia" w:ascii="仿宋_GB2312" w:hAnsi="仿宋_GB2312" w:eastAsia="仿宋_GB2312" w:cs="仿宋_GB2312"/>
          <w:color w:val="auto"/>
          <w:kern w:val="2"/>
          <w:sz w:val="32"/>
          <w:szCs w:val="32"/>
          <w:highlight w:val="none"/>
          <w:lang w:val="en-US" w:eastAsia="zh-CN" w:bidi="ar-SA"/>
        </w:rPr>
        <w:t>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万元，主要用于……（具体项目）。外事接待</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批次，</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人次（不包括陪同人员），共计支出**万</w:t>
      </w:r>
      <w:r>
        <w:rPr>
          <w:rFonts w:hint="eastAsia" w:ascii="Times New Roman" w:hAnsi="Times New Roman" w:eastAsia="仿宋_GB2312" w:cs="仿宋_GB2312"/>
          <w:color w:val="auto"/>
          <w:kern w:val="2"/>
          <w:sz w:val="32"/>
          <w:szCs w:val="32"/>
          <w:highlight w:val="none"/>
          <w:lang w:val="en-US" w:eastAsia="zh-CN" w:bidi="ar-SA"/>
        </w:rPr>
        <w:t>元。</w:t>
      </w:r>
    </w:p>
    <w:p>
      <w:pPr>
        <w:spacing w:line="600" w:lineRule="exact"/>
        <w:ind w:firstLine="640"/>
        <w:outlineLvl w:val="1"/>
        <w:rPr>
          <w:rFonts w:ascii="黑体" w:eastAsia="黑体"/>
          <w:sz w:val="32"/>
          <w:szCs w:val="32"/>
        </w:rPr>
      </w:pPr>
      <w:bookmarkStart w:id="40" w:name="_Toc15396610"/>
      <w:bookmarkStart w:id="41" w:name="_Toc15377218"/>
    </w:p>
    <w:p>
      <w:pPr>
        <w:spacing w:line="600" w:lineRule="exact"/>
        <w:ind w:firstLine="640"/>
        <w:outlineLvl w:val="1"/>
        <w:rPr>
          <w:rStyle w:val="29"/>
          <w:rFonts w:ascii="黑体" w:hAnsi="黑体" w:eastAsia="黑体"/>
        </w:rPr>
      </w:pPr>
      <w:r>
        <w:rPr>
          <w:rFonts w:hint="eastAsia" w:ascii="黑体" w:eastAsia="黑体"/>
          <w:sz w:val="32"/>
          <w:szCs w:val="32"/>
        </w:rPr>
        <w:t>八、</w:t>
      </w:r>
      <w:r>
        <w:rPr>
          <w:rStyle w:val="29"/>
          <w:rFonts w:hint="eastAsia" w:ascii="黑体" w:hAnsi="黑体" w:eastAsia="黑体"/>
          <w:b w:val="0"/>
        </w:rPr>
        <w:t>政府性基金预算支出决算情况说明</w:t>
      </w:r>
      <w:bookmarkEnd w:id="40"/>
      <w:bookmarkEnd w:id="41"/>
    </w:p>
    <w:p>
      <w:pPr>
        <w:spacing w:line="600" w:lineRule="exact"/>
        <w:ind w:firstLine="640"/>
        <w:rPr>
          <w:rFonts w:ascii="仿宋_GB2312" w:eastAsia="仿宋_GB2312"/>
          <w:sz w:val="32"/>
          <w:szCs w:val="32"/>
        </w:rPr>
      </w:pPr>
      <w:r>
        <w:rPr>
          <w:rFonts w:hint="eastAsia" w:ascii="仿宋_GB2312" w:hAnsi="仿宋_GB2312" w:eastAsia="仿宋_GB2312" w:cs="仿宋_GB2312"/>
          <w:color w:val="auto"/>
          <w:kern w:val="2"/>
          <w:sz w:val="32"/>
          <w:szCs w:val="32"/>
          <w:highlight w:val="none"/>
          <w:lang w:val="en-US" w:eastAsia="zh-CN" w:bidi="ar-SA"/>
        </w:rPr>
        <w:t>2024年度政府性基金预算财政拨款支出</w:t>
      </w:r>
      <w:r>
        <w:rPr>
          <w:rFonts w:hint="eastAsia" w:ascii="仿宋_GB2312" w:hAnsi="仿宋_GB2312" w:eastAsia="仿宋_GB2312" w:cs="仿宋_GB2312"/>
          <w:sz w:val="32"/>
          <w:szCs w:val="32"/>
        </w:rPr>
        <w:t>47.22</w:t>
      </w:r>
      <w:r>
        <w:rPr>
          <w:rFonts w:hint="eastAsia" w:ascii="仿宋_GB2312" w:hAnsi="仿宋_GB2312" w:eastAsia="仿宋_GB2312" w:cs="仿宋_GB2312"/>
          <w:color w:val="auto"/>
          <w:kern w:val="2"/>
          <w:sz w:val="32"/>
          <w:szCs w:val="32"/>
          <w:highlight w:val="none"/>
          <w:lang w:val="en-US" w:eastAsia="zh-CN" w:bidi="ar-SA"/>
        </w:rPr>
        <w:t>万元，占本年支出合计的</w:t>
      </w:r>
      <w:r>
        <w:rPr>
          <w:rFonts w:hint="eastAsia" w:ascii="仿宋_GB2312" w:hAnsi="仿宋_GB2312" w:eastAsia="仿宋_GB2312" w:cs="仿宋_GB2312"/>
          <w:sz w:val="32"/>
          <w:szCs w:val="32"/>
        </w:rPr>
        <w:t>1.75</w:t>
      </w:r>
      <w:r>
        <w:rPr>
          <w:rFonts w:hint="eastAsia" w:ascii="仿宋_GB2312" w:hAnsi="仿宋_GB2312" w:eastAsia="仿宋_GB2312" w:cs="仿宋_GB2312"/>
          <w:color w:val="auto"/>
          <w:kern w:val="2"/>
          <w:sz w:val="32"/>
          <w:szCs w:val="32"/>
          <w:highlight w:val="none"/>
          <w:lang w:val="en-US" w:eastAsia="zh-CN" w:bidi="ar-SA"/>
        </w:rPr>
        <w:t>%</w:t>
      </w:r>
      <w:r>
        <w:rPr>
          <w:rFonts w:hint="eastAsia" w:ascii="Times New Roman" w:hAnsi="Times New Roman" w:eastAsia="仿宋_GB2312" w:cs="仿宋_GB2312"/>
          <w:color w:val="auto"/>
          <w:kern w:val="2"/>
          <w:sz w:val="32"/>
          <w:szCs w:val="32"/>
          <w:highlight w:val="none"/>
          <w:lang w:val="en-US" w:eastAsia="zh-CN" w:bidi="ar-SA"/>
        </w:rPr>
        <w:t>。</w:t>
      </w:r>
    </w:p>
    <w:p>
      <w:pPr>
        <w:spacing w:line="600" w:lineRule="exact"/>
        <w:ind w:firstLine="640"/>
        <w:rPr>
          <w:rFonts w:ascii="仿宋_GB2312" w:eastAsia="仿宋_GB2312"/>
          <w:sz w:val="32"/>
          <w:szCs w:val="32"/>
        </w:rPr>
      </w:pPr>
    </w:p>
    <w:p>
      <w:pPr>
        <w:numPr>
          <w:ilvl w:val="0"/>
          <w:numId w:val="3"/>
        </w:numPr>
        <w:spacing w:line="600" w:lineRule="exact"/>
        <w:ind w:firstLine="640"/>
        <w:outlineLvl w:val="1"/>
        <w:rPr>
          <w:rStyle w:val="29"/>
          <w:rFonts w:ascii="黑体" w:hAnsi="黑体" w:eastAsia="黑体"/>
          <w:b w:val="0"/>
        </w:rPr>
      </w:pPr>
      <w:bookmarkStart w:id="42" w:name="_Toc15377219"/>
      <w:bookmarkStart w:id="43" w:name="_Toc15396611"/>
      <w:r>
        <w:rPr>
          <w:rStyle w:val="29"/>
          <w:rFonts w:hint="eastAsia" w:ascii="黑体" w:hAnsi="黑体" w:eastAsia="黑体"/>
          <w:b w:val="0"/>
        </w:rPr>
        <w:t>国有资本经营预算支出决算情况说明</w:t>
      </w:r>
      <w:bookmarkEnd w:id="42"/>
      <w:bookmarkEnd w:id="43"/>
    </w:p>
    <w:p>
      <w:pPr>
        <w:spacing w:line="600" w:lineRule="exact"/>
        <w:ind w:firstLine="640"/>
        <w:rPr>
          <w:rFonts w:ascii="仿宋_GB2312" w:eastAsia="仿宋_GB2312"/>
          <w:sz w:val="32"/>
          <w:szCs w:val="32"/>
        </w:rPr>
      </w:pPr>
      <w:r>
        <w:rPr>
          <w:rFonts w:hint="eastAsia" w:ascii="仿宋_GB2312" w:eastAsia="仿宋_GB2312"/>
          <w:sz w:val="32"/>
          <w:szCs w:val="32"/>
        </w:rPr>
        <w:t>20</w:t>
      </w:r>
      <w:r>
        <w:rPr>
          <w:rFonts w:hint="eastAsia" w:ascii="仿宋_GB2312" w:eastAsia="仿宋_GB2312"/>
          <w:sz w:val="32"/>
          <w:szCs w:val="32"/>
          <w:lang w:val="en-US" w:eastAsia="zh-CN"/>
        </w:rPr>
        <w:t>24</w:t>
      </w:r>
      <w:r>
        <w:rPr>
          <w:rFonts w:hint="eastAsia" w:ascii="仿宋_GB2312" w:eastAsia="仿宋_GB2312"/>
          <w:sz w:val="32"/>
          <w:szCs w:val="32"/>
        </w:rPr>
        <w:t>年度国有资本经营预算财政拨款支出</w:t>
      </w:r>
      <w:r>
        <w:rPr>
          <w:rFonts w:ascii="仿宋" w:hAnsi="仿宋" w:eastAsia="仿宋"/>
          <w:b/>
          <w:sz w:val="32"/>
          <w:szCs w:val="32"/>
        </w:rPr>
        <w:t>0</w:t>
      </w:r>
      <w:r>
        <w:rPr>
          <w:rFonts w:hint="eastAsia" w:ascii="仿宋_GB2312" w:eastAsia="仿宋_GB2312"/>
          <w:sz w:val="32"/>
          <w:szCs w:val="32"/>
        </w:rPr>
        <w:t>万元。</w:t>
      </w:r>
    </w:p>
    <w:p>
      <w:pPr>
        <w:spacing w:line="580" w:lineRule="exact"/>
        <w:jc w:val="center"/>
        <w:rPr>
          <w:rFonts w:ascii="方正小标宋简体" w:hAnsi="方正小标宋简体" w:eastAsia="方正小标宋简体" w:cs="方正小标宋简体"/>
          <w:sz w:val="44"/>
          <w:szCs w:val="44"/>
        </w:rPr>
      </w:pPr>
    </w:p>
    <w:p>
      <w:pPr>
        <w:numPr>
          <w:ilvl w:val="0"/>
          <w:numId w:val="3"/>
        </w:numPr>
        <w:spacing w:line="600" w:lineRule="exact"/>
        <w:ind w:firstLine="640"/>
        <w:outlineLvl w:val="1"/>
        <w:rPr>
          <w:rStyle w:val="29"/>
          <w:rFonts w:ascii="黑体" w:hAnsi="黑体" w:eastAsia="黑体"/>
          <w:b w:val="0"/>
        </w:rPr>
      </w:pPr>
      <w:bookmarkStart w:id="44" w:name="_Toc15396612"/>
      <w:bookmarkStart w:id="45" w:name="_Toc15377221"/>
      <w:r>
        <w:rPr>
          <w:rStyle w:val="29"/>
          <w:rFonts w:hint="eastAsia" w:ascii="黑体" w:hAnsi="黑体" w:eastAsia="黑体"/>
          <w:b w:val="0"/>
        </w:rPr>
        <w:t>其他重要事项的情况说明</w:t>
      </w:r>
      <w:bookmarkEnd w:id="44"/>
      <w:bookmarkEnd w:id="45"/>
    </w:p>
    <w:p>
      <w:pPr>
        <w:spacing w:line="600" w:lineRule="exact"/>
        <w:ind w:firstLine="643" w:firstLineChars="200"/>
        <w:outlineLvl w:val="2"/>
        <w:rPr>
          <w:rFonts w:hint="eastAsia" w:ascii="Times New Roman" w:hAnsi="Times New Roman" w:eastAsia="楷体_GB2312" w:cs="楷体_GB2312"/>
          <w:b/>
          <w:color w:val="auto"/>
          <w:sz w:val="32"/>
          <w:szCs w:val="32"/>
          <w:highlight w:val="none"/>
        </w:rPr>
      </w:pPr>
      <w:bookmarkStart w:id="46" w:name="_Toc15377222"/>
      <w:r>
        <w:rPr>
          <w:rFonts w:hint="eastAsia" w:ascii="Times New Roman" w:hAnsi="Times New Roman" w:eastAsia="楷体_GB2312" w:cs="楷体_GB2312"/>
          <w:b/>
          <w:color w:val="auto"/>
          <w:sz w:val="32"/>
          <w:szCs w:val="32"/>
          <w:highlight w:val="none"/>
        </w:rPr>
        <w:t>（一）机关运行经费支出情况</w:t>
      </w:r>
      <w:bookmarkEnd w:id="46"/>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Times New Roman" w:hAnsi="Times New Roman" w:eastAsia="仿宋_GB2312" w:cs="仿宋_GB2312"/>
          <w:color w:val="auto"/>
          <w:kern w:val="2"/>
          <w:sz w:val="32"/>
          <w:szCs w:val="32"/>
          <w:highlight w:val="none"/>
          <w:lang w:val="en-US" w:eastAsia="zh-CN" w:bidi="ar-SA"/>
        </w:rPr>
        <w:t>2024年度</w:t>
      </w:r>
      <w:r>
        <w:rPr>
          <w:rFonts w:hint="eastAsia" w:ascii="仿宋_GB2312" w:hAnsi="仿宋_GB2312" w:eastAsia="仿宋_GB2312" w:cs="仿宋_GB2312"/>
          <w:color w:val="auto"/>
          <w:kern w:val="2"/>
          <w:sz w:val="32"/>
          <w:szCs w:val="32"/>
          <w:highlight w:val="none"/>
          <w:lang w:val="en-US" w:eastAsia="zh-CN" w:bidi="ar-SA"/>
        </w:rPr>
        <w:t>，</w:t>
      </w:r>
      <w:r>
        <w:rPr>
          <w:rFonts w:hint="eastAsia" w:ascii="仿宋_GB2312" w:hAnsi="仿宋_GB2312" w:eastAsia="仿宋_GB2312" w:cs="仿宋_GB2312"/>
          <w:sz w:val="32"/>
          <w:szCs w:val="32"/>
        </w:rPr>
        <w:t>五通桥区住房和城乡建设局环境卫生管理所</w:t>
      </w:r>
      <w:r>
        <w:rPr>
          <w:rFonts w:hint="eastAsia" w:ascii="仿宋_GB2312" w:hAnsi="仿宋_GB2312" w:eastAsia="仿宋_GB2312" w:cs="仿宋_GB2312"/>
          <w:color w:val="auto"/>
          <w:kern w:val="2"/>
          <w:sz w:val="32"/>
          <w:szCs w:val="32"/>
          <w:highlight w:val="none"/>
          <w:lang w:val="en-US" w:eastAsia="zh-CN" w:bidi="ar-SA"/>
        </w:rPr>
        <w:t>机关运行经费支出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w:t>
      </w:r>
      <w:r>
        <w:rPr>
          <w:rFonts w:hint="eastAsia" w:ascii="Times New Roman" w:hAnsi="Times New Roman" w:eastAsia="仿宋_GB2312" w:cs="仿宋_GB2312"/>
          <w:color w:val="auto"/>
          <w:kern w:val="2"/>
          <w:sz w:val="32"/>
          <w:szCs w:val="32"/>
          <w:highlight w:val="none"/>
          <w:lang w:val="en-US" w:eastAsia="zh-CN" w:bidi="ar-SA"/>
        </w:rPr>
        <w:t>元，比2023年度增加/减少**万元，增长/下降**%（或与2023年度决算数持平）。主要原因是……</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3" w:firstLineChars="200"/>
        <w:outlineLvl w:val="2"/>
        <w:rPr>
          <w:rFonts w:hint="eastAsia" w:ascii="Times New Roman" w:hAnsi="Times New Roman" w:eastAsia="楷体_GB2312" w:cs="楷体_GB2312"/>
          <w:b/>
          <w:color w:val="auto"/>
          <w:sz w:val="32"/>
          <w:szCs w:val="32"/>
          <w:highlight w:val="none"/>
        </w:rPr>
      </w:pPr>
      <w:bookmarkStart w:id="47" w:name="_Toc15377223"/>
      <w:r>
        <w:rPr>
          <w:rFonts w:hint="eastAsia" w:ascii="Times New Roman" w:hAnsi="Times New Roman" w:eastAsia="楷体_GB2312" w:cs="楷体_GB2312"/>
          <w:b/>
          <w:color w:val="auto"/>
          <w:sz w:val="32"/>
          <w:szCs w:val="32"/>
          <w:highlight w:val="none"/>
        </w:rPr>
        <w:t>（二）政府采购支出情况</w:t>
      </w:r>
      <w:bookmarkEnd w:id="47"/>
    </w:p>
    <w:p>
      <w:pPr>
        <w:spacing w:line="600" w:lineRule="exact"/>
        <w:ind w:firstLine="640"/>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2024年度，</w:t>
      </w:r>
      <w:r>
        <w:rPr>
          <w:rFonts w:hint="eastAsia" w:ascii="仿宋_GB2312" w:hAnsi="仿宋_GB2312" w:eastAsia="仿宋_GB2312" w:cs="仿宋_GB2312"/>
          <w:sz w:val="32"/>
          <w:szCs w:val="32"/>
        </w:rPr>
        <w:t>五通桥区住房和城乡建设局环境卫生管理所</w:t>
      </w:r>
      <w:r>
        <w:rPr>
          <w:rFonts w:hint="eastAsia" w:ascii="仿宋_GB2312" w:hAnsi="仿宋_GB2312" w:eastAsia="仿宋_GB2312" w:cs="仿宋_GB2312"/>
          <w:color w:val="auto"/>
          <w:kern w:val="2"/>
          <w:sz w:val="32"/>
          <w:szCs w:val="32"/>
          <w:highlight w:val="none"/>
          <w:lang w:val="en-US" w:eastAsia="zh-CN" w:bidi="ar-SA"/>
        </w:rPr>
        <w:t>政府采购支出总额</w:t>
      </w:r>
      <w:r>
        <w:rPr>
          <w:rFonts w:hint="eastAsia" w:ascii="仿宋_GB2312" w:hAnsi="仿宋_GB2312" w:eastAsia="仿宋_GB2312" w:cs="仿宋_GB2312"/>
          <w:sz w:val="32"/>
          <w:szCs w:val="32"/>
        </w:rPr>
        <w:t>0.55</w:t>
      </w:r>
      <w:r>
        <w:rPr>
          <w:rFonts w:hint="eastAsia" w:ascii="仿宋_GB2312" w:hAnsi="仿宋_GB2312" w:eastAsia="仿宋_GB2312" w:cs="仿宋_GB2312"/>
          <w:color w:val="auto"/>
          <w:kern w:val="2"/>
          <w:sz w:val="32"/>
          <w:szCs w:val="32"/>
          <w:highlight w:val="none"/>
          <w:lang w:val="en-US" w:eastAsia="zh-CN" w:bidi="ar-SA"/>
        </w:rPr>
        <w:t>万元，其中：政府采购货物支出</w:t>
      </w:r>
      <w:r>
        <w:rPr>
          <w:rFonts w:hint="eastAsia" w:ascii="仿宋_GB2312" w:hAnsi="仿宋_GB2312" w:eastAsia="仿宋_GB2312" w:cs="仿宋_GB2312"/>
          <w:sz w:val="32"/>
          <w:szCs w:val="32"/>
        </w:rPr>
        <w:t>0.55</w:t>
      </w:r>
      <w:r>
        <w:rPr>
          <w:rFonts w:hint="eastAsia" w:ascii="仿宋_GB2312" w:hAnsi="仿宋_GB2312" w:eastAsia="仿宋_GB2312" w:cs="仿宋_GB2312"/>
          <w:color w:val="auto"/>
          <w:kern w:val="2"/>
          <w:sz w:val="32"/>
          <w:szCs w:val="32"/>
          <w:highlight w:val="none"/>
          <w:lang w:val="en-US" w:eastAsia="zh-CN" w:bidi="ar-SA"/>
        </w:rPr>
        <w:t>万元、政府采购工程支出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万元、政府采购服务支出</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万元。主要用于……（具体工作）。授予中小企业合同金额</w:t>
      </w:r>
      <w:r>
        <w:rPr>
          <w:rFonts w:hint="eastAsia" w:ascii="仿宋_GB2312" w:hAnsi="仿宋_GB2312" w:eastAsia="仿宋_GB2312" w:cs="仿宋_GB2312"/>
          <w:sz w:val="32"/>
          <w:szCs w:val="32"/>
        </w:rPr>
        <w:t>0.55</w:t>
      </w:r>
      <w:r>
        <w:rPr>
          <w:rFonts w:hint="eastAsia" w:ascii="仿宋_GB2312" w:hAnsi="仿宋_GB2312" w:eastAsia="仿宋_GB2312" w:cs="仿宋_GB2312"/>
          <w:color w:val="auto"/>
          <w:kern w:val="2"/>
          <w:sz w:val="32"/>
          <w:szCs w:val="32"/>
          <w:highlight w:val="none"/>
          <w:lang w:val="en-US" w:eastAsia="zh-CN" w:bidi="ar-SA"/>
        </w:rPr>
        <w:t>万元，占政府采购支出总额的</w:t>
      </w:r>
      <w:r>
        <w:rPr>
          <w:rFonts w:hint="eastAsia" w:ascii="仿宋_GB2312" w:hAnsi="仿宋_GB2312" w:eastAsia="仿宋_GB2312" w:cs="仿宋_GB2312"/>
          <w:sz w:val="32"/>
          <w:szCs w:val="32"/>
        </w:rPr>
        <w:t>100</w:t>
      </w:r>
      <w:r>
        <w:rPr>
          <w:rFonts w:hint="eastAsia" w:ascii="仿宋_GB2312" w:hAnsi="仿宋_GB2312" w:eastAsia="仿宋_GB2312" w:cs="仿宋_GB2312"/>
          <w:color w:val="auto"/>
          <w:kern w:val="2"/>
          <w:sz w:val="32"/>
          <w:szCs w:val="32"/>
          <w:highlight w:val="none"/>
          <w:lang w:val="en-US" w:eastAsia="zh-CN" w:bidi="ar-SA"/>
        </w:rPr>
        <w:t>%，其中：授予小微企业合同金额</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万元，占政府采购支出总额的</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w:t>
      </w:r>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p>
    <w:p>
      <w:pPr>
        <w:spacing w:line="600" w:lineRule="exact"/>
        <w:ind w:firstLine="643" w:firstLineChars="200"/>
        <w:outlineLvl w:val="2"/>
        <w:rPr>
          <w:rFonts w:hint="eastAsia" w:ascii="Times New Roman" w:hAnsi="Times New Roman" w:eastAsia="楷体_GB2312" w:cs="楷体_GB2312"/>
          <w:b/>
          <w:color w:val="auto"/>
          <w:sz w:val="32"/>
          <w:szCs w:val="32"/>
          <w:highlight w:val="none"/>
        </w:rPr>
      </w:pPr>
      <w:bookmarkStart w:id="48" w:name="_Toc15377224"/>
      <w:r>
        <w:rPr>
          <w:rFonts w:hint="eastAsia" w:ascii="Times New Roman" w:hAnsi="Times New Roman" w:eastAsia="楷体_GB2312" w:cs="楷体_GB2312"/>
          <w:b/>
          <w:color w:val="auto"/>
          <w:sz w:val="32"/>
          <w:szCs w:val="32"/>
          <w:highlight w:val="none"/>
        </w:rPr>
        <w:t>（三）国有资产占有使用情况</w:t>
      </w:r>
      <w:bookmarkEnd w:id="48"/>
    </w:p>
    <w:p>
      <w:pPr>
        <w:spacing w:line="600" w:lineRule="exact"/>
        <w:ind w:firstLine="640"/>
        <w:rPr>
          <w:rFonts w:hint="eastAsia" w:ascii="Times New Roman" w:hAnsi="Times New Roman"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截至2024年12月31日，</w:t>
      </w:r>
      <w:r>
        <w:rPr>
          <w:rFonts w:hint="eastAsia" w:ascii="仿宋_GB2312" w:hAnsi="仿宋_GB2312" w:eastAsia="仿宋_GB2312" w:cs="仿宋_GB2312"/>
          <w:sz w:val="32"/>
          <w:szCs w:val="32"/>
        </w:rPr>
        <w:t>五通桥区住房和城乡建设局环境卫生管理所</w:t>
      </w:r>
      <w:r>
        <w:rPr>
          <w:rFonts w:hint="eastAsia" w:ascii="仿宋_GB2312" w:hAnsi="仿宋_GB2312" w:eastAsia="仿宋_GB2312" w:cs="仿宋_GB2312"/>
          <w:color w:val="auto"/>
          <w:kern w:val="2"/>
          <w:sz w:val="32"/>
          <w:szCs w:val="32"/>
          <w:highlight w:val="none"/>
          <w:lang w:val="en-US" w:eastAsia="zh-CN" w:bidi="ar-SA"/>
        </w:rPr>
        <w:t>共有车辆</w:t>
      </w:r>
      <w:r>
        <w:rPr>
          <w:rFonts w:hint="eastAsia" w:ascii="仿宋_GB2312" w:hAnsi="仿宋_GB2312" w:eastAsia="仿宋_GB2312" w:cs="仿宋_GB2312"/>
          <w:sz w:val="32"/>
          <w:szCs w:val="32"/>
        </w:rPr>
        <w:t>34</w:t>
      </w:r>
      <w:r>
        <w:rPr>
          <w:rFonts w:hint="eastAsia" w:ascii="仿宋_GB2312" w:hAnsi="仿宋_GB2312" w:eastAsia="仿宋_GB2312" w:cs="仿宋_GB2312"/>
          <w:color w:val="auto"/>
          <w:kern w:val="2"/>
          <w:sz w:val="32"/>
          <w:szCs w:val="32"/>
          <w:highlight w:val="none"/>
          <w:lang w:val="en-US" w:eastAsia="zh-CN" w:bidi="ar-SA"/>
        </w:rPr>
        <w:t>辆，其中：主要负责人用车</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辆、机要通信用车</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辆、应急保障用车</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辆、其他用车</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辆，其他用车主要是用于……。单价100万元（含）以上设备（不含车辆）</w:t>
      </w:r>
      <w:r>
        <w:rPr>
          <w:rFonts w:hint="eastAsia" w:ascii="仿宋_GB2312" w:hAnsi="仿宋_GB2312" w:eastAsia="仿宋_GB2312" w:cs="仿宋_GB2312"/>
          <w:sz w:val="32"/>
          <w:szCs w:val="32"/>
        </w:rPr>
        <w:t>0</w:t>
      </w:r>
      <w:r>
        <w:rPr>
          <w:rFonts w:hint="eastAsia" w:ascii="仿宋_GB2312" w:hAnsi="仿宋_GB2312" w:eastAsia="仿宋_GB2312" w:cs="仿宋_GB2312"/>
          <w:color w:val="auto"/>
          <w:kern w:val="2"/>
          <w:sz w:val="32"/>
          <w:szCs w:val="32"/>
          <w:highlight w:val="none"/>
          <w:lang w:val="en-US" w:eastAsia="zh-CN" w:bidi="ar-SA"/>
        </w:rPr>
        <w:t>台（套）</w:t>
      </w:r>
      <w:r>
        <w:rPr>
          <w:rFonts w:hint="eastAsia" w:ascii="Times New Roman" w:hAnsi="Times New Roman" w:eastAsia="仿宋_GB2312" w:cs="仿宋_GB2312"/>
          <w:color w:val="auto"/>
          <w:kern w:val="2"/>
          <w:sz w:val="32"/>
          <w:szCs w:val="32"/>
          <w:highlight w:val="none"/>
          <w:lang w:val="en-US" w:eastAsia="zh-CN" w:bidi="ar-SA"/>
        </w:rPr>
        <w:t>。</w:t>
      </w:r>
    </w:p>
    <w:p>
      <w:pPr>
        <w:autoSpaceDE w:val="0"/>
        <w:autoSpaceDN w:val="0"/>
        <w:adjustRightInd w:val="0"/>
        <w:spacing w:line="600" w:lineRule="exact"/>
        <w:ind w:firstLine="640" w:firstLineChars="200"/>
        <w:jc w:val="left"/>
        <w:rPr>
          <w:rFonts w:ascii="仿宋_GB2312" w:eastAsia="仿宋_GB2312"/>
          <w:sz w:val="32"/>
          <w:szCs w:val="32"/>
        </w:rPr>
      </w:pPr>
    </w:p>
    <w:p>
      <w:pPr>
        <w:autoSpaceDE w:val="0"/>
        <w:autoSpaceDN w:val="0"/>
        <w:adjustRightInd w:val="0"/>
        <w:spacing w:line="600" w:lineRule="exact"/>
        <w:ind w:firstLine="643" w:firstLineChars="200"/>
        <w:jc w:val="left"/>
        <w:rPr>
          <w:rFonts w:ascii="仿宋" w:hAnsi="仿宋" w:eastAsia="仿宋"/>
          <w:b/>
          <w:sz w:val="32"/>
          <w:szCs w:val="32"/>
        </w:rPr>
      </w:pPr>
      <w:r>
        <w:rPr>
          <w:rFonts w:hint="eastAsia" w:ascii="仿宋" w:hAnsi="仿宋" w:eastAsia="仿宋"/>
          <w:b/>
          <w:sz w:val="32"/>
          <w:szCs w:val="32"/>
        </w:rPr>
        <w:t>（注：数据来源于财决附</w:t>
      </w:r>
      <w:r>
        <w:rPr>
          <w:rFonts w:ascii="仿宋" w:hAnsi="仿宋" w:eastAsia="仿宋"/>
          <w:b/>
          <w:sz w:val="32"/>
          <w:szCs w:val="32"/>
        </w:rPr>
        <w:t>03</w:t>
      </w:r>
      <w:r>
        <w:rPr>
          <w:rFonts w:hint="eastAsia" w:ascii="仿宋" w:hAnsi="仿宋" w:eastAsia="仿宋"/>
          <w:b/>
          <w:sz w:val="32"/>
          <w:szCs w:val="32"/>
        </w:rPr>
        <w:t>表，按单位决算报表填报数据罗列车辆情况。）</w:t>
      </w:r>
    </w:p>
    <w:p>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pPr>
        <w:spacing w:line="600" w:lineRule="exact"/>
        <w:ind w:firstLine="640" w:firstLineChars="200"/>
        <w:rPr>
          <w:rFonts w:ascii="仿宋_GB2312" w:eastAsia="仿宋_GB2312"/>
          <w:sz w:val="32"/>
          <w:szCs w:val="32"/>
        </w:rPr>
      </w:pPr>
      <w:r>
        <w:rPr>
          <w:rFonts w:hint="eastAsia" w:ascii="仿宋_GB2312" w:eastAsia="仿宋_GB2312"/>
          <w:sz w:val="32"/>
          <w:szCs w:val="32"/>
        </w:rPr>
        <w:t>根据预算绩效管理要求，本单位在2023年度预算编制阶段，组织对</w:t>
      </w:r>
      <w:r>
        <w:rPr>
          <w:rFonts w:hint="eastAsia" w:ascii="仿宋_GB2312" w:eastAsia="仿宋_GB2312"/>
          <w:sz w:val="32"/>
          <w:szCs w:val="32"/>
          <w:lang w:val="en-US" w:eastAsia="zh-CN"/>
        </w:rPr>
        <w:t>23</w:t>
      </w:r>
      <w:r>
        <w:rPr>
          <w:rFonts w:hint="eastAsia" w:ascii="仿宋_GB2312" w:eastAsia="仿宋_GB2312"/>
          <w:sz w:val="32"/>
          <w:szCs w:val="32"/>
        </w:rPr>
        <w:t>项目环卫工具及设施购置费等</w:t>
      </w:r>
      <w:r>
        <w:rPr>
          <w:rFonts w:hint="eastAsia" w:ascii="仿宋_GB2312" w:eastAsia="仿宋_GB2312"/>
          <w:sz w:val="32"/>
          <w:szCs w:val="32"/>
          <w:lang w:val="en-US" w:eastAsia="zh-CN"/>
        </w:rPr>
        <w:t>23</w:t>
      </w:r>
      <w:r>
        <w:rPr>
          <w:rFonts w:hint="eastAsia" w:ascii="仿宋_GB2312" w:eastAsia="仿宋_GB2312"/>
          <w:sz w:val="32"/>
          <w:szCs w:val="32"/>
        </w:rPr>
        <w:t>个项目开展了预算事前绩效评估，对</w:t>
      </w:r>
      <w:r>
        <w:rPr>
          <w:rFonts w:hint="eastAsia" w:ascii="仿宋_GB2312" w:eastAsia="仿宋_GB2312"/>
          <w:sz w:val="32"/>
          <w:szCs w:val="32"/>
          <w:lang w:val="en-US" w:eastAsia="zh-CN"/>
        </w:rPr>
        <w:t>23</w:t>
      </w:r>
      <w:r>
        <w:rPr>
          <w:rFonts w:hint="eastAsia" w:ascii="仿宋_GB2312" w:eastAsia="仿宋_GB2312"/>
          <w:sz w:val="32"/>
          <w:szCs w:val="32"/>
        </w:rPr>
        <w:t>个项目编制了绩效目标，预算执行过程中，选取</w:t>
      </w:r>
      <w:r>
        <w:rPr>
          <w:rFonts w:hint="eastAsia" w:ascii="仿宋_GB2312" w:eastAsia="仿宋_GB2312"/>
          <w:sz w:val="32"/>
          <w:szCs w:val="32"/>
          <w:lang w:val="en-US" w:eastAsia="zh-CN"/>
        </w:rPr>
        <w:t>23</w:t>
      </w:r>
      <w:r>
        <w:rPr>
          <w:rFonts w:hint="eastAsia" w:ascii="仿宋_GB2312" w:eastAsia="仿宋_GB2312"/>
          <w:sz w:val="32"/>
          <w:szCs w:val="32"/>
        </w:rPr>
        <w:t>个项目开展绩效监控，组织对</w:t>
      </w:r>
      <w:r>
        <w:rPr>
          <w:rFonts w:hint="eastAsia" w:ascii="仿宋_GB2312" w:eastAsia="仿宋_GB2312"/>
          <w:sz w:val="32"/>
          <w:szCs w:val="32"/>
          <w:lang w:val="en-US" w:eastAsia="zh-CN"/>
        </w:rPr>
        <w:t>23</w:t>
      </w:r>
      <w:r>
        <w:rPr>
          <w:rFonts w:hint="eastAsia" w:ascii="仿宋_GB2312" w:eastAsia="仿宋_GB2312"/>
          <w:sz w:val="32"/>
          <w:szCs w:val="32"/>
        </w:rPr>
        <w:t>个项目开展绩效自评，绩效自评表详见第四部分附件。</w:t>
      </w:r>
    </w:p>
    <w:p>
      <w:pPr>
        <w:spacing w:line="600" w:lineRule="exact"/>
        <w:ind w:firstLine="640" w:firstLineChars="200"/>
        <w:rPr>
          <w:rFonts w:ascii="仿宋_GB2312" w:eastAsia="仿宋_GB2312"/>
          <w:sz w:val="32"/>
          <w:szCs w:val="32"/>
        </w:rPr>
      </w:pPr>
      <w:r>
        <w:rPr>
          <w:rFonts w:hint="eastAsia" w:ascii="仿宋_GB2312" w:eastAsia="仿宋_GB2312"/>
          <w:sz w:val="32"/>
          <w:szCs w:val="32"/>
        </w:rPr>
        <w:br w:type="page"/>
      </w:r>
    </w:p>
    <w:p>
      <w:pPr>
        <w:numPr>
          <w:ilvl w:val="0"/>
          <w:numId w:val="4"/>
        </w:numPr>
        <w:spacing w:line="600" w:lineRule="exact"/>
        <w:ind w:firstLine="660" w:firstLineChars="150"/>
        <w:jc w:val="center"/>
        <w:outlineLvl w:val="0"/>
        <w:rPr>
          <w:rStyle w:val="28"/>
          <w:rFonts w:ascii="黑体" w:hAnsi="黑体" w:eastAsia="黑体"/>
          <w:b w:val="0"/>
        </w:rPr>
      </w:pPr>
      <w:bookmarkStart w:id="49" w:name="_Toc15377225"/>
      <w:bookmarkStart w:id="50" w:name="_Toc15396613"/>
      <w:r>
        <w:rPr>
          <w:rFonts w:hint="eastAsia" w:ascii="黑体" w:hAnsi="黑体" w:eastAsia="黑体"/>
          <w:sz w:val="44"/>
          <w:szCs w:val="44"/>
        </w:rPr>
        <w:t>名</w:t>
      </w:r>
      <w:r>
        <w:rPr>
          <w:rStyle w:val="28"/>
          <w:rFonts w:hint="eastAsia" w:ascii="黑体" w:hAnsi="黑体" w:eastAsia="黑体"/>
          <w:b w:val="0"/>
        </w:rPr>
        <w:t>词解释</w:t>
      </w:r>
      <w:bookmarkEnd w:id="49"/>
      <w:bookmarkEnd w:id="50"/>
    </w:p>
    <w:p>
      <w:pPr>
        <w:spacing w:line="600" w:lineRule="exact"/>
        <w:jc w:val="left"/>
        <w:rPr>
          <w:rFonts w:ascii="宋体"/>
          <w:b/>
          <w:sz w:val="44"/>
          <w:szCs w:val="44"/>
        </w:rPr>
      </w:pP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事业收入：指事业单位开展专业业务活动及辅助活动取得的收入。如…（二级预算单位事业收入情况）等。</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经营收入：指事业单位在专业业务活动及其辅助活动之外开展非独立核算经营活动取得的收入。如…（二级预算单位经营收入情况）等。</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4.</w:t>
      </w:r>
      <w:r>
        <w:rPr>
          <w:rFonts w:hint="eastAsia" w:ascii="仿宋_GB2312" w:eastAsia="仿宋_GB2312"/>
          <w:color w:val="auto"/>
          <w:sz w:val="32"/>
          <w:szCs w:val="32"/>
        </w:rPr>
        <w:t>其他收入：指单位取得的除上述收入以外的各项收入。主要是…（收入类型）等。</w:t>
      </w:r>
      <w:r>
        <w:rPr>
          <w:rFonts w:ascii="仿宋_GB2312" w:eastAsia="仿宋_GB2312"/>
          <w:color w:val="auto"/>
          <w:sz w:val="32"/>
          <w:szCs w:val="32"/>
        </w:rPr>
        <w:t xml:space="preserve"> </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5.</w:t>
      </w:r>
      <w:r>
        <w:rPr>
          <w:rFonts w:hint="eastAsia" w:ascii="仿宋_GB2312" w:hAnsi="华文中宋" w:eastAsia="仿宋_GB2312"/>
          <w:sz w:val="32"/>
          <w:szCs w:val="32"/>
        </w:rPr>
        <w:t>使用非财政拨款结余（含专用结余）</w:t>
      </w:r>
      <w:r>
        <w:rPr>
          <w:rFonts w:hint="eastAsia" w:ascii="仿宋_GB2312" w:eastAsia="仿宋_GB2312"/>
          <w:color w:val="auto"/>
          <w:sz w:val="32"/>
          <w:szCs w:val="32"/>
        </w:rPr>
        <w:t>：指事业单位使用以前年度积累的非财政拨款结余弥补当年收支差额的金额。</w:t>
      </w:r>
      <w:r>
        <w:rPr>
          <w:rFonts w:ascii="仿宋_GB2312" w:eastAsia="仿宋_GB2312"/>
          <w:color w:val="auto"/>
          <w:sz w:val="32"/>
          <w:szCs w:val="32"/>
        </w:rPr>
        <w:t xml:space="preserve"> </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6.</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7.</w:t>
      </w:r>
      <w:r>
        <w:rPr>
          <w:rFonts w:hint="eastAsia" w:ascii="仿宋_GB2312" w:eastAsia="仿宋_GB2312"/>
          <w:color w:val="auto"/>
          <w:sz w:val="32"/>
          <w:szCs w:val="32"/>
        </w:rPr>
        <w:t>结余分配：指事业单位按照会计制度规定缴纳的所得税、提取的专用结余以及转入非财政拨款结余的金额等。</w:t>
      </w:r>
    </w:p>
    <w:p>
      <w:pPr>
        <w:pStyle w:val="26"/>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8</w:t>
      </w:r>
      <w:r>
        <w:rPr>
          <w:rFonts w:hint="eastAsia" w:ascii="仿宋_GB2312" w:eastAsia="仿宋_GB2312"/>
          <w:color w:val="auto"/>
          <w:sz w:val="32"/>
          <w:szCs w:val="32"/>
        </w:rPr>
        <w:t>.年末结转和结余：指单位按有关规定结转到下年或以后年度继续使用的资金。</w:t>
      </w:r>
    </w:p>
    <w:p>
      <w:pPr>
        <w:pStyle w:val="26"/>
        <w:spacing w:line="560" w:lineRule="exact"/>
        <w:ind w:firstLine="600" w:firstLineChars="200"/>
        <w:rPr>
          <w:rFonts w:hint="eastAsia" w:hAnsi="仿宋"/>
          <w:sz w:val="30"/>
          <w:szCs w:val="30"/>
        </w:rPr>
      </w:pPr>
      <w:r>
        <w:rPr>
          <w:rFonts w:hint="eastAsia" w:hAnsi="仿宋"/>
          <w:sz w:val="30"/>
          <w:szCs w:val="30"/>
        </w:rPr>
        <w:t>社会保障和就业（类）行政事业单位养老支出（款）机关事业单位基本养老保险缴费支出（项）：指反映机关事业单位实施养老保险制度由单位缴纳的养老保险费支出。</w:t>
      </w:r>
    </w:p>
    <w:p>
      <w:pPr>
        <w:pStyle w:val="26"/>
        <w:spacing w:line="560" w:lineRule="exact"/>
        <w:ind w:firstLine="600" w:firstLineChars="200"/>
        <w:rPr>
          <w:rFonts w:hint="eastAsia" w:hAnsi="仿宋"/>
          <w:sz w:val="30"/>
          <w:szCs w:val="30"/>
        </w:rPr>
      </w:pPr>
      <w:r>
        <w:rPr>
          <w:rFonts w:hint="eastAsia" w:hAnsi="仿宋"/>
          <w:sz w:val="30"/>
          <w:szCs w:val="30"/>
        </w:rPr>
        <w:t>10.社会保障和就业（类）行政事业单位养老支出（款）  机关事业单位职业年金缴费支出（项）：指反映机关事业单位实施养老保险制度由单位实际缴纳的职业年金支出。</w:t>
      </w:r>
    </w:p>
    <w:p>
      <w:pPr>
        <w:pStyle w:val="26"/>
        <w:spacing w:line="560" w:lineRule="exact"/>
        <w:ind w:firstLine="600" w:firstLineChars="200"/>
        <w:rPr>
          <w:rFonts w:hint="eastAsia" w:hAnsi="仿宋"/>
          <w:sz w:val="30"/>
          <w:szCs w:val="30"/>
        </w:rPr>
      </w:pPr>
      <w:r>
        <w:rPr>
          <w:rFonts w:hint="eastAsia" w:hAnsi="仿宋"/>
          <w:sz w:val="30"/>
          <w:szCs w:val="30"/>
        </w:rPr>
        <w:t>11.社会保障和就业（类）行政事业单位离退休（款）  其他行政事业单位养老支出（项）：指反映除上述项目以外其他用于行政事业单位离退休方面的支出。</w:t>
      </w:r>
    </w:p>
    <w:p>
      <w:pPr>
        <w:pStyle w:val="26"/>
        <w:spacing w:line="560" w:lineRule="exact"/>
        <w:ind w:firstLine="600" w:firstLineChars="200"/>
        <w:rPr>
          <w:rFonts w:hint="eastAsia" w:hAnsi="仿宋"/>
          <w:sz w:val="30"/>
          <w:szCs w:val="30"/>
        </w:rPr>
      </w:pPr>
      <w:r>
        <w:rPr>
          <w:rFonts w:hint="eastAsia" w:hAnsi="仿宋"/>
          <w:sz w:val="30"/>
          <w:szCs w:val="30"/>
        </w:rPr>
        <w:t>13. 卫生健康（类）行政事业单位医疗（款）事业单位医疗（项）：指反映事业单位用于缴纳单位基本医疗保险支出。</w:t>
      </w:r>
    </w:p>
    <w:p>
      <w:pPr>
        <w:pStyle w:val="26"/>
        <w:spacing w:line="560" w:lineRule="exact"/>
        <w:ind w:firstLine="600" w:firstLineChars="200"/>
        <w:rPr>
          <w:rFonts w:hint="eastAsia" w:hAnsi="仿宋"/>
          <w:sz w:val="30"/>
          <w:szCs w:val="30"/>
        </w:rPr>
      </w:pPr>
      <w:r>
        <w:rPr>
          <w:rFonts w:hint="eastAsia" w:hAnsi="仿宋"/>
          <w:sz w:val="30"/>
          <w:szCs w:val="30"/>
        </w:rPr>
        <w:t>14.住房保障（类）住房改革支出（款）住房公积金（项）：指反映行政事业单位按人力资源和社会保障部、财政部规定的基本工资和津贴补贴以及规定比例为职工缴纳的住房公积金支出。</w:t>
      </w:r>
    </w:p>
    <w:p>
      <w:pPr>
        <w:pStyle w:val="26"/>
        <w:spacing w:line="560" w:lineRule="exact"/>
        <w:ind w:firstLine="600" w:firstLineChars="200"/>
        <w:rPr>
          <w:rFonts w:hint="eastAsia" w:hAnsi="仿宋"/>
          <w:sz w:val="30"/>
          <w:szCs w:val="30"/>
        </w:rPr>
      </w:pPr>
      <w:r>
        <w:rPr>
          <w:rFonts w:hint="eastAsia" w:hAnsi="仿宋"/>
          <w:sz w:val="30"/>
          <w:szCs w:val="30"/>
        </w:rPr>
        <w:t>15.城乡社区（类）城乡社区管理事务（款）其他城乡社区管理事务支出（项）: 指反映其他城乡社区管理事务方面专门性工作任务的支出。</w:t>
      </w:r>
    </w:p>
    <w:p>
      <w:pPr>
        <w:pStyle w:val="26"/>
        <w:spacing w:line="560" w:lineRule="exact"/>
        <w:ind w:firstLine="600" w:firstLineChars="200"/>
        <w:rPr>
          <w:rFonts w:hint="eastAsia" w:hAnsi="仿宋"/>
          <w:sz w:val="30"/>
          <w:szCs w:val="30"/>
        </w:rPr>
      </w:pPr>
      <w:r>
        <w:rPr>
          <w:rFonts w:hint="eastAsia" w:hAnsi="仿宋"/>
          <w:sz w:val="30"/>
          <w:szCs w:val="30"/>
        </w:rPr>
        <w:t>16.城乡社区（类）社区环境卫生（款）城乡社区环境卫生（项）: 指反映城乡社区道路清扫、垃圾清运与处理、公厕建设与维护、园林绿化等方面的支出。</w:t>
      </w:r>
    </w:p>
    <w:p>
      <w:pPr>
        <w:pStyle w:val="26"/>
        <w:spacing w:line="560" w:lineRule="exact"/>
        <w:ind w:firstLine="600" w:firstLineChars="200"/>
        <w:rPr>
          <w:rFonts w:hint="eastAsia" w:hAnsi="仿宋"/>
          <w:sz w:val="30"/>
          <w:szCs w:val="30"/>
        </w:rPr>
      </w:pPr>
      <w:r>
        <w:rPr>
          <w:rFonts w:hint="eastAsia" w:hAnsi="仿宋"/>
          <w:sz w:val="30"/>
          <w:szCs w:val="30"/>
        </w:rPr>
        <w:t>17.城乡社区（类）城市基础设施配套费安排的支出（款）城市环境卫生（项）: 指反映城市基础设施配套费安排用于道路清扫、垃圾清运与处理、污水处理、园林绿化等方面的支出。</w:t>
      </w:r>
    </w:p>
    <w:p>
      <w:pPr>
        <w:pStyle w:val="26"/>
        <w:spacing w:line="560" w:lineRule="exact"/>
        <w:ind w:firstLine="600" w:firstLineChars="200"/>
        <w:rPr>
          <w:rFonts w:hint="eastAsia" w:hAnsi="仿宋"/>
          <w:sz w:val="30"/>
          <w:szCs w:val="30"/>
        </w:rPr>
      </w:pPr>
      <w:r>
        <w:rPr>
          <w:rFonts w:hint="eastAsia" w:hAnsi="仿宋"/>
          <w:sz w:val="30"/>
          <w:szCs w:val="30"/>
        </w:rPr>
        <w:t>18.城乡社区（类）城市基础设施配套费安排的支出（款）  公有房屋（项）: 指反映城市基础设施配套费安排用于城市公有房屋维修改造的支出。</w:t>
      </w:r>
    </w:p>
    <w:p>
      <w:pPr>
        <w:spacing w:beforeLines="0" w:afterLines="0"/>
        <w:ind w:firstLine="600" w:firstLineChars="200"/>
        <w:rPr>
          <w:rFonts w:hint="eastAsia" w:ascii="仿宋" w:hAnsi="仿宋" w:eastAsia="仿宋" w:cs="仿宋"/>
          <w:color w:val="000000"/>
          <w:sz w:val="30"/>
          <w:szCs w:val="30"/>
        </w:rPr>
      </w:pPr>
      <w:r>
        <w:rPr>
          <w:rFonts w:hint="eastAsia" w:ascii="仿宋" w:hAnsi="仿宋" w:eastAsia="仿宋" w:cs="仿宋"/>
          <w:color w:val="000000"/>
          <w:sz w:val="30"/>
          <w:szCs w:val="30"/>
        </w:rPr>
        <w:t>19.基本支出：指为保障机构正常运转、完成日常工作任务而发生的人员支出和公用支出。</w:t>
      </w:r>
    </w:p>
    <w:p>
      <w:pPr>
        <w:spacing w:beforeLines="0" w:afterLines="0"/>
        <w:ind w:firstLine="600" w:firstLineChars="200"/>
        <w:rPr>
          <w:rFonts w:hint="eastAsia" w:ascii="仿宋" w:hAnsi="仿宋" w:eastAsia="仿宋" w:cs="仿宋"/>
          <w:color w:val="000000"/>
          <w:sz w:val="30"/>
          <w:szCs w:val="30"/>
        </w:rPr>
      </w:pPr>
      <w:r>
        <w:rPr>
          <w:rFonts w:hint="eastAsia" w:ascii="仿宋" w:hAnsi="仿宋" w:eastAsia="仿宋" w:cs="仿宋"/>
          <w:color w:val="000000"/>
          <w:sz w:val="30"/>
          <w:szCs w:val="30"/>
        </w:rPr>
        <w:t xml:space="preserve">20.项目支出：指在基本支出之外为完成特定行政任务和事业发展目标所发生的支出。 </w:t>
      </w:r>
    </w:p>
    <w:p>
      <w:pPr>
        <w:spacing w:beforeLines="0" w:afterLines="0"/>
        <w:ind w:firstLine="600" w:firstLineChars="200"/>
        <w:rPr>
          <w:rFonts w:hint="eastAsia" w:ascii="仿宋" w:hAnsi="仿宋" w:eastAsia="仿宋" w:cs="仿宋"/>
          <w:color w:val="000000"/>
          <w:sz w:val="30"/>
          <w:szCs w:val="30"/>
        </w:rPr>
      </w:pPr>
      <w:r>
        <w:rPr>
          <w:rFonts w:hint="eastAsia" w:ascii="仿宋" w:hAnsi="仿宋" w:eastAsia="仿宋" w:cs="仿宋"/>
          <w:color w:val="000000"/>
          <w:sz w:val="30"/>
          <w:szCs w:val="30"/>
        </w:rPr>
        <w:t>21.经营支出：指事业单位在专业业务活动及其辅助活动之外开展非独立核算经营活动发生的支出。</w:t>
      </w:r>
    </w:p>
    <w:p>
      <w:pPr>
        <w:pStyle w:val="26"/>
        <w:spacing w:line="560" w:lineRule="exact"/>
        <w:ind w:firstLine="600" w:firstLineChars="200"/>
        <w:rPr>
          <w:rFonts w:hint="eastAsia" w:hAnsi="仿宋"/>
          <w:sz w:val="30"/>
          <w:szCs w:val="30"/>
        </w:rPr>
      </w:pPr>
      <w:r>
        <w:rPr>
          <w:rFonts w:hint="eastAsia" w:hAnsi="仿宋"/>
          <w:sz w:val="30"/>
          <w:szCs w:val="30"/>
        </w:rPr>
        <w:t>22.“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26"/>
        <w:spacing w:line="560" w:lineRule="exact"/>
        <w:ind w:firstLine="600" w:firstLineChars="200"/>
        <w:rPr>
          <w:rFonts w:hint="eastAsia" w:hAnsi="仿宋"/>
          <w:sz w:val="30"/>
          <w:szCs w:val="30"/>
        </w:rPr>
      </w:pPr>
      <w:r>
        <w:rPr>
          <w:rFonts w:hint="eastAsia" w:hAnsi="仿宋"/>
          <w:sz w:val="30"/>
          <w:szCs w:val="30"/>
        </w:rPr>
        <w:t>23.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spacing w:line="600" w:lineRule="exact"/>
        <w:rPr>
          <w:rFonts w:ascii="仿宋" w:hAnsi="仿宋" w:eastAsia="仿宋"/>
          <w:b/>
          <w:sz w:val="32"/>
          <w:szCs w:val="32"/>
        </w:rPr>
      </w:pPr>
      <w:r>
        <w:rPr>
          <w:rFonts w:hint="eastAsia" w:ascii="仿宋" w:hAnsi="仿宋" w:eastAsia="仿宋"/>
          <w:b/>
          <w:sz w:val="32"/>
          <w:szCs w:val="32"/>
        </w:rPr>
        <w:t>（解释本单位决算报表中涉及的全部功能分类科目至项级，不涉及的科目请自行删除。请参照《202</w:t>
      </w:r>
      <w:r>
        <w:rPr>
          <w:rFonts w:hint="eastAsia" w:ascii="仿宋" w:hAnsi="仿宋" w:eastAsia="仿宋"/>
          <w:b/>
          <w:sz w:val="32"/>
          <w:szCs w:val="32"/>
          <w:lang w:val="en-US" w:eastAsia="zh-CN"/>
        </w:rPr>
        <w:t>4</w:t>
      </w:r>
      <w:r>
        <w:rPr>
          <w:rFonts w:hint="eastAsia" w:ascii="仿宋" w:hAnsi="仿宋" w:eastAsia="仿宋"/>
          <w:b/>
          <w:sz w:val="32"/>
          <w:szCs w:val="32"/>
        </w:rPr>
        <w:t>年政府收支分类科目》增减内容。）</w:t>
      </w:r>
    </w:p>
    <w:p>
      <w:pPr>
        <w:spacing w:line="600" w:lineRule="exact"/>
        <w:jc w:val="center"/>
        <w:outlineLvl w:val="0"/>
        <w:rPr>
          <w:rStyle w:val="28"/>
          <w:rFonts w:ascii="黑体" w:hAnsi="黑体" w:eastAsia="黑体"/>
          <w:b w:val="0"/>
        </w:rPr>
      </w:pPr>
      <w:bookmarkStart w:id="67" w:name="_GoBack"/>
      <w:bookmarkEnd w:id="67"/>
      <w:bookmarkStart w:id="51" w:name="_Toc15377226"/>
      <w:r>
        <w:rPr>
          <w:rFonts w:ascii="宋体"/>
          <w:b/>
          <w:sz w:val="44"/>
          <w:szCs w:val="44"/>
        </w:rPr>
        <w:br w:type="page"/>
      </w:r>
      <w:bookmarkStart w:id="52" w:name="_Toc15396614"/>
      <w:r>
        <w:rPr>
          <w:rFonts w:hint="eastAsia" w:ascii="黑体" w:hAnsi="黑体" w:eastAsia="黑体"/>
          <w:sz w:val="44"/>
          <w:szCs w:val="44"/>
        </w:rPr>
        <w:t>第</w:t>
      </w:r>
      <w:r>
        <w:rPr>
          <w:rStyle w:val="28"/>
          <w:rFonts w:hint="eastAsia" w:ascii="黑体" w:hAnsi="黑体" w:eastAsia="黑体"/>
          <w:b w:val="0"/>
        </w:rPr>
        <w:t>四部分 附件</w:t>
      </w:r>
      <w:bookmarkEnd w:id="52"/>
    </w:p>
    <w:p>
      <w:pPr>
        <w:spacing w:line="572" w:lineRule="exact"/>
        <w:jc w:val="left"/>
        <w:outlineLvl w:val="0"/>
        <w:rPr>
          <w:rFonts w:ascii="仿宋_GB2312" w:hAnsi="仿宋_GB2312" w:eastAsia="仿宋_GB2312" w:cs="仿宋_GB2312"/>
          <w:sz w:val="32"/>
          <w:szCs w:val="32"/>
        </w:rPr>
      </w:pPr>
    </w:p>
    <w:p>
      <w:pPr>
        <w:spacing w:line="600" w:lineRule="exact"/>
        <w:jc w:val="center"/>
        <w:outlineLvl w:val="0"/>
        <w:rPr>
          <w:rFonts w:ascii="黑体" w:hAnsi="黑体" w:eastAsia="黑体"/>
          <w:color w:val="FF0000"/>
          <w:sz w:val="44"/>
          <w:szCs w:val="44"/>
        </w:rPr>
      </w:pPr>
      <w:bookmarkStart w:id="53" w:name="_Toc15396618"/>
      <w:r>
        <w:rPr>
          <w:rFonts w:hint="eastAsia"/>
          <w:sz w:val="32"/>
          <w:szCs w:val="32"/>
        </w:rPr>
        <w:t>部门预算项目支出绩效自评表（202</w:t>
      </w:r>
      <w:r>
        <w:rPr>
          <w:rFonts w:hint="eastAsia"/>
          <w:sz w:val="32"/>
          <w:szCs w:val="32"/>
          <w:lang w:val="en-US" w:eastAsia="zh-CN"/>
        </w:rPr>
        <w:t>4</w:t>
      </w:r>
      <w:r>
        <w:rPr>
          <w:rFonts w:hint="eastAsia"/>
          <w:sz w:val="32"/>
          <w:szCs w:val="32"/>
        </w:rPr>
        <w:t>年度）</w:t>
      </w:r>
    </w:p>
    <w:p>
      <w:pPr>
        <w:pStyle w:val="3"/>
        <w:spacing w:line="560" w:lineRule="exact"/>
        <w:ind w:left="0" w:leftChars="0" w:firstLine="640"/>
        <w:rPr>
          <w:sz w:val="32"/>
        </w:rPr>
      </w:pPr>
    </w:p>
    <w:p>
      <w:pPr>
        <w:pStyle w:val="3"/>
        <w:spacing w:line="560" w:lineRule="exact"/>
        <w:ind w:left="0" w:leftChars="0" w:firstLine="640"/>
        <w:rPr>
          <w:rFonts w:hAnsi="Calibri" w:eastAsia="仿宋_GB2312" w:cs="仿宋"/>
          <w:sz w:val="32"/>
          <w:lang w:val="zh-CN"/>
        </w:rPr>
      </w:pPr>
      <w:r>
        <w:rPr>
          <w:rFonts w:hint="eastAsia" w:hAnsi="Calibri" w:eastAsia="仿宋_GB2312" w:cs="仿宋"/>
          <w:sz w:val="32"/>
        </w:rPr>
        <w:t>（备注：按照绩效自评工作安排，各单位可在预算管理一体化系统—综合报表查询—预算绩效报表模块中下载本单位“部门预算项目支出绩效自评表（202</w:t>
      </w:r>
      <w:r>
        <w:rPr>
          <w:rFonts w:hint="eastAsia" w:hAnsi="Calibri" w:eastAsia="仿宋_GB2312" w:cs="仿宋"/>
          <w:sz w:val="32"/>
          <w:lang w:val="en-US" w:eastAsia="zh-CN"/>
        </w:rPr>
        <w:t>4</w:t>
      </w:r>
      <w:r>
        <w:rPr>
          <w:rFonts w:hint="eastAsia" w:hAnsi="Calibri" w:eastAsia="仿宋_GB2312" w:cs="仿宋"/>
          <w:sz w:val="32"/>
        </w:rPr>
        <w:t>年度）”，该表格应作为附件予以公开。）</w:t>
      </w: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pStyle w:val="8"/>
        <w:spacing w:before="93"/>
        <w:rPr>
          <w:rFonts w:hAnsi="Calibri" w:cs="仿宋"/>
          <w:sz w:val="32"/>
          <w:szCs w:val="32"/>
        </w:rPr>
      </w:pPr>
    </w:p>
    <w:p>
      <w:pPr>
        <w:spacing w:line="600" w:lineRule="exact"/>
        <w:jc w:val="center"/>
        <w:outlineLvl w:val="0"/>
        <w:rPr>
          <w:rFonts w:ascii="仿宋" w:hAnsi="仿宋" w:eastAsia="仿宋"/>
        </w:rPr>
      </w:pPr>
      <w:r>
        <w:rPr>
          <w:rFonts w:hint="eastAsia" w:ascii="黑体" w:hAnsi="黑体" w:eastAsia="黑体"/>
          <w:sz w:val="44"/>
          <w:szCs w:val="44"/>
        </w:rPr>
        <w:t>第</w:t>
      </w:r>
      <w:r>
        <w:rPr>
          <w:rStyle w:val="28"/>
          <w:rFonts w:hint="eastAsia" w:ascii="黑体" w:hAnsi="黑体" w:eastAsia="黑体"/>
          <w:b w:val="0"/>
        </w:rPr>
        <w:t>五部分 附表</w:t>
      </w:r>
      <w:bookmarkEnd w:id="51"/>
      <w:bookmarkEnd w:id="53"/>
      <w:bookmarkStart w:id="54" w:name="_Toc15396619"/>
    </w:p>
    <w:p>
      <w:pPr>
        <w:pStyle w:val="6"/>
        <w:rPr>
          <w:rFonts w:ascii="仿宋" w:hAnsi="仿宋" w:eastAsia="仿宋"/>
        </w:rPr>
      </w:pPr>
      <w:r>
        <w:rPr>
          <w:rFonts w:hint="eastAsia" w:ascii="仿宋" w:hAnsi="仿宋" w:eastAsia="仿宋"/>
          <w:b w:val="0"/>
        </w:rPr>
        <w:t>一、收</w:t>
      </w:r>
      <w:r>
        <w:rPr>
          <w:rStyle w:val="29"/>
          <w:rFonts w:hint="eastAsia" w:ascii="仿宋" w:hAnsi="仿宋" w:eastAsia="仿宋"/>
          <w:b w:val="0"/>
          <w:bCs w:val="0"/>
        </w:rPr>
        <w:t>入支出决算总表</w:t>
      </w:r>
      <w:bookmarkEnd w:id="54"/>
    </w:p>
    <w:p>
      <w:pPr>
        <w:pStyle w:val="6"/>
        <w:rPr>
          <w:rFonts w:ascii="仿宋" w:hAnsi="仿宋" w:eastAsia="仿宋"/>
        </w:rPr>
      </w:pPr>
      <w:bookmarkStart w:id="55" w:name="_Toc15396620"/>
      <w:r>
        <w:rPr>
          <w:rFonts w:hint="eastAsia" w:ascii="仿宋" w:hAnsi="仿宋" w:eastAsia="仿宋"/>
          <w:b w:val="0"/>
        </w:rPr>
        <w:t>二、收</w:t>
      </w:r>
      <w:r>
        <w:rPr>
          <w:rStyle w:val="29"/>
          <w:rFonts w:hint="eastAsia" w:ascii="仿宋" w:hAnsi="仿宋" w:eastAsia="仿宋"/>
          <w:b w:val="0"/>
          <w:bCs w:val="0"/>
        </w:rPr>
        <w:t>入决算表</w:t>
      </w:r>
      <w:bookmarkEnd w:id="55"/>
    </w:p>
    <w:p>
      <w:pPr>
        <w:pStyle w:val="6"/>
        <w:rPr>
          <w:rFonts w:ascii="仿宋" w:hAnsi="仿宋" w:eastAsia="仿宋"/>
        </w:rPr>
      </w:pPr>
      <w:bookmarkStart w:id="56" w:name="_Toc15396621"/>
      <w:r>
        <w:rPr>
          <w:rStyle w:val="29"/>
          <w:rFonts w:hint="eastAsia" w:ascii="仿宋" w:hAnsi="仿宋" w:eastAsia="仿宋"/>
          <w:b w:val="0"/>
          <w:bCs w:val="0"/>
        </w:rPr>
        <w:t>三、</w:t>
      </w:r>
      <w:r>
        <w:rPr>
          <w:rFonts w:hint="eastAsia" w:ascii="仿宋" w:hAnsi="仿宋" w:eastAsia="仿宋"/>
          <w:b w:val="0"/>
        </w:rPr>
        <w:t>支</w:t>
      </w:r>
      <w:r>
        <w:rPr>
          <w:rStyle w:val="29"/>
          <w:rFonts w:hint="eastAsia" w:ascii="仿宋" w:hAnsi="仿宋" w:eastAsia="仿宋"/>
          <w:b w:val="0"/>
          <w:bCs w:val="0"/>
        </w:rPr>
        <w:t>出决算表</w:t>
      </w:r>
      <w:bookmarkEnd w:id="56"/>
    </w:p>
    <w:p>
      <w:pPr>
        <w:pStyle w:val="6"/>
        <w:rPr>
          <w:rFonts w:ascii="仿宋" w:hAnsi="仿宋" w:eastAsia="仿宋"/>
          <w:b w:val="0"/>
        </w:rPr>
      </w:pPr>
      <w:bookmarkStart w:id="57" w:name="_Toc15396622"/>
      <w:r>
        <w:rPr>
          <w:rStyle w:val="29"/>
          <w:rFonts w:hint="eastAsia" w:ascii="仿宋" w:hAnsi="仿宋" w:eastAsia="仿宋"/>
          <w:b w:val="0"/>
          <w:bCs w:val="0"/>
        </w:rPr>
        <w:t>四、</w:t>
      </w:r>
      <w:r>
        <w:rPr>
          <w:rFonts w:hint="eastAsia" w:ascii="仿宋" w:hAnsi="仿宋" w:eastAsia="仿宋"/>
          <w:b w:val="0"/>
        </w:rPr>
        <w:t>财</w:t>
      </w:r>
      <w:r>
        <w:rPr>
          <w:rStyle w:val="29"/>
          <w:rFonts w:hint="eastAsia" w:ascii="仿宋" w:hAnsi="仿宋" w:eastAsia="仿宋"/>
          <w:b w:val="0"/>
          <w:bCs w:val="0"/>
        </w:rPr>
        <w:t>政拨款收入支出决算总表</w:t>
      </w:r>
      <w:bookmarkEnd w:id="57"/>
    </w:p>
    <w:p>
      <w:pPr>
        <w:pStyle w:val="6"/>
        <w:rPr>
          <w:rStyle w:val="29"/>
          <w:rFonts w:ascii="仿宋" w:hAnsi="仿宋" w:eastAsia="仿宋"/>
          <w:b w:val="0"/>
          <w:bCs w:val="0"/>
        </w:rPr>
      </w:pPr>
      <w:bookmarkStart w:id="58" w:name="_Toc15396623"/>
      <w:r>
        <w:rPr>
          <w:rStyle w:val="29"/>
          <w:rFonts w:hint="eastAsia" w:ascii="仿宋" w:hAnsi="仿宋" w:eastAsia="仿宋"/>
          <w:b w:val="0"/>
          <w:bCs w:val="0"/>
        </w:rPr>
        <w:t>五、</w:t>
      </w:r>
      <w:r>
        <w:rPr>
          <w:rFonts w:hint="eastAsia" w:ascii="仿宋" w:hAnsi="仿宋" w:eastAsia="仿宋"/>
          <w:b w:val="0"/>
        </w:rPr>
        <w:t>财</w:t>
      </w:r>
      <w:r>
        <w:rPr>
          <w:rStyle w:val="29"/>
          <w:rFonts w:hint="eastAsia" w:ascii="仿宋" w:hAnsi="仿宋" w:eastAsia="仿宋"/>
          <w:b w:val="0"/>
          <w:bCs w:val="0"/>
        </w:rPr>
        <w:t>政拨款支出决算明细表</w:t>
      </w:r>
      <w:bookmarkEnd w:id="58"/>
      <w:bookmarkStart w:id="59" w:name="_Toc15396624"/>
    </w:p>
    <w:p>
      <w:pPr>
        <w:pStyle w:val="6"/>
        <w:rPr>
          <w:rFonts w:ascii="仿宋" w:hAnsi="仿宋" w:eastAsia="仿宋"/>
        </w:rPr>
      </w:pPr>
      <w:r>
        <w:rPr>
          <w:rStyle w:val="29"/>
          <w:rFonts w:hint="eastAsia" w:ascii="仿宋" w:hAnsi="仿宋" w:eastAsia="仿宋"/>
          <w:b w:val="0"/>
          <w:bCs w:val="0"/>
        </w:rPr>
        <w:t>六、</w:t>
      </w:r>
      <w:r>
        <w:rPr>
          <w:rFonts w:hint="eastAsia" w:ascii="仿宋" w:hAnsi="仿宋" w:eastAsia="仿宋"/>
          <w:b w:val="0"/>
        </w:rPr>
        <w:t>一</w:t>
      </w:r>
      <w:r>
        <w:rPr>
          <w:rStyle w:val="29"/>
          <w:rFonts w:hint="eastAsia" w:ascii="仿宋" w:hAnsi="仿宋" w:eastAsia="仿宋"/>
          <w:b w:val="0"/>
          <w:bCs w:val="0"/>
        </w:rPr>
        <w:t>般公共预算财政拨款支出决算表</w:t>
      </w:r>
      <w:bookmarkEnd w:id="59"/>
    </w:p>
    <w:p>
      <w:pPr>
        <w:pStyle w:val="6"/>
        <w:rPr>
          <w:rFonts w:ascii="仿宋" w:hAnsi="仿宋" w:eastAsia="仿宋"/>
        </w:rPr>
      </w:pPr>
      <w:bookmarkStart w:id="60" w:name="_Toc15396625"/>
      <w:r>
        <w:rPr>
          <w:rStyle w:val="29"/>
          <w:rFonts w:hint="eastAsia" w:ascii="仿宋" w:hAnsi="仿宋" w:eastAsia="仿宋"/>
          <w:b w:val="0"/>
          <w:bCs w:val="0"/>
        </w:rPr>
        <w:t>七、</w:t>
      </w:r>
      <w:r>
        <w:rPr>
          <w:rFonts w:hint="eastAsia" w:ascii="仿宋" w:hAnsi="仿宋" w:eastAsia="仿宋"/>
          <w:b w:val="0"/>
        </w:rPr>
        <w:t>一</w:t>
      </w:r>
      <w:r>
        <w:rPr>
          <w:rStyle w:val="29"/>
          <w:rFonts w:hint="eastAsia" w:ascii="仿宋" w:hAnsi="仿宋" w:eastAsia="仿宋"/>
          <w:b w:val="0"/>
          <w:bCs w:val="0"/>
        </w:rPr>
        <w:t>般公共预算财政拨款支出决算明细表</w:t>
      </w:r>
      <w:bookmarkEnd w:id="60"/>
    </w:p>
    <w:p>
      <w:pPr>
        <w:pStyle w:val="6"/>
        <w:rPr>
          <w:rFonts w:ascii="仿宋" w:hAnsi="仿宋" w:eastAsia="仿宋"/>
        </w:rPr>
      </w:pPr>
      <w:bookmarkStart w:id="61" w:name="_Toc15396626"/>
      <w:r>
        <w:rPr>
          <w:rStyle w:val="29"/>
          <w:rFonts w:hint="eastAsia" w:ascii="仿宋" w:hAnsi="仿宋" w:eastAsia="仿宋"/>
          <w:b w:val="0"/>
          <w:bCs w:val="0"/>
        </w:rPr>
        <w:t>八、</w:t>
      </w:r>
      <w:r>
        <w:rPr>
          <w:rFonts w:hint="eastAsia" w:ascii="仿宋" w:hAnsi="仿宋" w:eastAsia="仿宋"/>
          <w:b w:val="0"/>
        </w:rPr>
        <w:t>一</w:t>
      </w:r>
      <w:r>
        <w:rPr>
          <w:rStyle w:val="29"/>
          <w:rFonts w:hint="eastAsia" w:ascii="仿宋" w:hAnsi="仿宋" w:eastAsia="仿宋"/>
          <w:b w:val="0"/>
          <w:bCs w:val="0"/>
        </w:rPr>
        <w:t>般公共预算财政拨款基本支出决算表</w:t>
      </w:r>
      <w:bookmarkEnd w:id="61"/>
    </w:p>
    <w:p>
      <w:pPr>
        <w:pStyle w:val="6"/>
        <w:rPr>
          <w:rFonts w:ascii="仿宋" w:hAnsi="仿宋" w:eastAsia="仿宋"/>
        </w:rPr>
      </w:pPr>
      <w:bookmarkStart w:id="62" w:name="_Toc15396627"/>
      <w:r>
        <w:rPr>
          <w:rStyle w:val="29"/>
          <w:rFonts w:hint="eastAsia" w:ascii="仿宋" w:hAnsi="仿宋" w:eastAsia="仿宋"/>
          <w:b w:val="0"/>
          <w:bCs w:val="0"/>
        </w:rPr>
        <w:t>九、</w:t>
      </w:r>
      <w:r>
        <w:rPr>
          <w:rFonts w:hint="eastAsia" w:ascii="仿宋" w:hAnsi="仿宋" w:eastAsia="仿宋"/>
          <w:b w:val="0"/>
        </w:rPr>
        <w:t>一</w:t>
      </w:r>
      <w:r>
        <w:rPr>
          <w:rStyle w:val="29"/>
          <w:rFonts w:hint="eastAsia" w:ascii="仿宋" w:hAnsi="仿宋" w:eastAsia="仿宋"/>
          <w:b w:val="0"/>
          <w:bCs w:val="0"/>
        </w:rPr>
        <w:t>般公共预算财政拨款项目支出决算表</w:t>
      </w:r>
      <w:bookmarkEnd w:id="62"/>
    </w:p>
    <w:p>
      <w:pPr>
        <w:pStyle w:val="6"/>
        <w:rPr>
          <w:rFonts w:ascii="仿宋" w:hAnsi="仿宋" w:eastAsia="仿宋"/>
        </w:rPr>
      </w:pPr>
      <w:bookmarkStart w:id="63" w:name="_Toc15396628"/>
      <w:r>
        <w:rPr>
          <w:rStyle w:val="29"/>
          <w:rFonts w:hint="eastAsia" w:ascii="仿宋" w:hAnsi="仿宋" w:eastAsia="仿宋"/>
          <w:b w:val="0"/>
          <w:bCs w:val="0"/>
        </w:rPr>
        <w:t>十、</w:t>
      </w:r>
      <w:bookmarkEnd w:id="63"/>
      <w:r>
        <w:rPr>
          <w:rFonts w:hint="eastAsia" w:ascii="仿宋" w:hAnsi="仿宋" w:eastAsia="仿宋"/>
          <w:b w:val="0"/>
        </w:rPr>
        <w:t>政</w:t>
      </w:r>
      <w:r>
        <w:rPr>
          <w:rStyle w:val="29"/>
          <w:rFonts w:hint="eastAsia" w:ascii="仿宋" w:hAnsi="仿宋" w:eastAsia="仿宋"/>
          <w:b w:val="0"/>
          <w:bCs w:val="0"/>
        </w:rPr>
        <w:t>府性基金预算财政拨款收入支出决算表</w:t>
      </w:r>
    </w:p>
    <w:p>
      <w:pPr>
        <w:pStyle w:val="6"/>
        <w:rPr>
          <w:rFonts w:ascii="仿宋" w:hAnsi="仿宋" w:eastAsia="仿宋"/>
        </w:rPr>
      </w:pPr>
      <w:bookmarkStart w:id="64" w:name="_Toc15396629"/>
      <w:r>
        <w:rPr>
          <w:rStyle w:val="29"/>
          <w:rFonts w:hint="eastAsia" w:ascii="仿宋" w:hAnsi="仿宋" w:eastAsia="仿宋"/>
          <w:b w:val="0"/>
          <w:bCs w:val="0"/>
        </w:rPr>
        <w:t>十一、</w:t>
      </w:r>
      <w:bookmarkEnd w:id="64"/>
      <w:r>
        <w:rPr>
          <w:rFonts w:hint="eastAsia" w:ascii="仿宋" w:hAnsi="仿宋" w:eastAsia="仿宋"/>
          <w:b w:val="0"/>
        </w:rPr>
        <w:t>国</w:t>
      </w:r>
      <w:r>
        <w:rPr>
          <w:rStyle w:val="29"/>
          <w:rFonts w:hint="eastAsia" w:ascii="仿宋" w:hAnsi="仿宋" w:eastAsia="仿宋"/>
          <w:b w:val="0"/>
          <w:bCs w:val="0"/>
        </w:rPr>
        <w:t>有资本经营预算财政拨款收入支出决算表</w:t>
      </w:r>
    </w:p>
    <w:p>
      <w:pPr>
        <w:pStyle w:val="6"/>
        <w:rPr>
          <w:rFonts w:ascii="仿宋" w:hAnsi="仿宋" w:eastAsia="仿宋"/>
        </w:rPr>
      </w:pPr>
      <w:bookmarkStart w:id="65" w:name="_Toc15396630"/>
      <w:r>
        <w:rPr>
          <w:rStyle w:val="29"/>
          <w:rFonts w:hint="eastAsia" w:ascii="仿宋" w:hAnsi="仿宋" w:eastAsia="仿宋"/>
          <w:b w:val="0"/>
          <w:bCs w:val="0"/>
        </w:rPr>
        <w:t>十二、</w:t>
      </w:r>
      <w:bookmarkEnd w:id="65"/>
      <w:r>
        <w:rPr>
          <w:rStyle w:val="29"/>
          <w:rFonts w:hint="eastAsia" w:ascii="仿宋" w:hAnsi="仿宋" w:eastAsia="仿宋"/>
          <w:b w:val="0"/>
          <w:bCs w:val="0"/>
        </w:rPr>
        <w:t>国有资本经营预算财政拨款支出决算表</w:t>
      </w:r>
    </w:p>
    <w:p>
      <w:pPr>
        <w:pStyle w:val="6"/>
        <w:rPr>
          <w:rFonts w:eastAsia="仿宋"/>
        </w:rPr>
      </w:pPr>
      <w:bookmarkStart w:id="66" w:name="_Toc15396631"/>
      <w:r>
        <w:rPr>
          <w:rStyle w:val="29"/>
          <w:rFonts w:hint="eastAsia" w:ascii="仿宋" w:hAnsi="仿宋" w:eastAsia="仿宋"/>
          <w:b w:val="0"/>
          <w:bCs w:val="0"/>
        </w:rPr>
        <w:t>十三、</w:t>
      </w:r>
      <w:bookmarkEnd w:id="66"/>
      <w:r>
        <w:rPr>
          <w:rStyle w:val="29"/>
          <w:rFonts w:hint="eastAsia" w:ascii="仿宋" w:hAnsi="仿宋" w:eastAsia="仿宋"/>
          <w:b w:val="0"/>
          <w:bCs w:val="0"/>
        </w:rPr>
        <w:t>财政拨款“三公”经费支出决算表</w:t>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Arial Unicode MS"/>
    <w:panose1 w:val="00000000000000000000"/>
    <w:charset w:val="86"/>
    <w:family w:val="script"/>
    <w:pitch w:val="default"/>
    <w:sig w:usb0="00000000" w:usb1="00000000" w:usb2="00000012" w:usb3="00000000" w:csb0="00040001" w:csb1="00000000"/>
  </w:font>
  <w:font w:name="Arial Unicode MS">
    <w:panose1 w:val="020B0604020202020204"/>
    <w:charset w:val="86"/>
    <w:family w:val="auto"/>
    <w:pitch w:val="default"/>
    <w:sig w:usb0="FFFFFFFF" w:usb1="E9FFFFFF" w:usb2="0000003F" w:usb3="00000000" w:csb0="603F01FF" w:csb1="FFFF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11"/>
          <w:jc w:val="center"/>
        </w:pPr>
        <w:r>
          <w:fldChar w:fldCharType="begin"/>
        </w:r>
        <w:r>
          <w:instrText xml:space="preserve">PAGE   \* MERGEFORMAT</w:instrText>
        </w:r>
        <w:r>
          <w:fldChar w:fldCharType="separate"/>
        </w:r>
        <w:r>
          <w:rPr>
            <w:lang w:val="zh-CN"/>
          </w:rPr>
          <w:t>15</w:t>
        </w:r>
        <w:r>
          <w:fldChar w:fldCharType="end"/>
        </w:r>
      </w:p>
    </w:sdtContent>
  </w:sdt>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3818A09A"/>
    <w:multiLevelType w:val="singleLevel"/>
    <w:tmpl w:val="3818A09A"/>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3M2FiMDY3NTk1NGJlMmNiMDIzYmY0YWM2NWJhOTU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A1DAD"/>
    <w:rsid w:val="001C0962"/>
    <w:rsid w:val="001D7531"/>
    <w:rsid w:val="001E737D"/>
    <w:rsid w:val="001F0592"/>
    <w:rsid w:val="001F7506"/>
    <w:rsid w:val="002006CD"/>
    <w:rsid w:val="00202B36"/>
    <w:rsid w:val="00204B7A"/>
    <w:rsid w:val="00204CDE"/>
    <w:rsid w:val="00206907"/>
    <w:rsid w:val="0021101A"/>
    <w:rsid w:val="00212B4A"/>
    <w:rsid w:val="00220536"/>
    <w:rsid w:val="00235629"/>
    <w:rsid w:val="00260C38"/>
    <w:rsid w:val="002616C0"/>
    <w:rsid w:val="00265372"/>
    <w:rsid w:val="002662AA"/>
    <w:rsid w:val="00280496"/>
    <w:rsid w:val="00294DC9"/>
    <w:rsid w:val="00295495"/>
    <w:rsid w:val="002A31DE"/>
    <w:rsid w:val="002B2613"/>
    <w:rsid w:val="002C5004"/>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25C50"/>
    <w:rsid w:val="0043177C"/>
    <w:rsid w:val="00434489"/>
    <w:rsid w:val="00437085"/>
    <w:rsid w:val="00443880"/>
    <w:rsid w:val="004464F4"/>
    <w:rsid w:val="0046049C"/>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533CF"/>
    <w:rsid w:val="005664BB"/>
    <w:rsid w:val="00566FFA"/>
    <w:rsid w:val="0057481D"/>
    <w:rsid w:val="0058486E"/>
    <w:rsid w:val="00585B33"/>
    <w:rsid w:val="0059014D"/>
    <w:rsid w:val="005B5C64"/>
    <w:rsid w:val="005B6E8A"/>
    <w:rsid w:val="005C5337"/>
    <w:rsid w:val="005C6BD0"/>
    <w:rsid w:val="005D1C8B"/>
    <w:rsid w:val="005D468D"/>
    <w:rsid w:val="005D5CED"/>
    <w:rsid w:val="005F10BC"/>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55FC5"/>
    <w:rsid w:val="0066343B"/>
    <w:rsid w:val="00664777"/>
    <w:rsid w:val="006748A4"/>
    <w:rsid w:val="00681A31"/>
    <w:rsid w:val="00683E73"/>
    <w:rsid w:val="006A3141"/>
    <w:rsid w:val="006A5E34"/>
    <w:rsid w:val="006B2422"/>
    <w:rsid w:val="006B2B9A"/>
    <w:rsid w:val="006C1937"/>
    <w:rsid w:val="006F020C"/>
    <w:rsid w:val="0071021A"/>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10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C7FD8"/>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1E6F"/>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3DC2831"/>
    <w:rsid w:val="081B5E94"/>
    <w:rsid w:val="084C0D84"/>
    <w:rsid w:val="0A2032A3"/>
    <w:rsid w:val="0A4D31E1"/>
    <w:rsid w:val="0B8A37D8"/>
    <w:rsid w:val="0F5FFB2F"/>
    <w:rsid w:val="0FFFCF60"/>
    <w:rsid w:val="10C055FF"/>
    <w:rsid w:val="118107EC"/>
    <w:rsid w:val="11DD6519"/>
    <w:rsid w:val="16BB723D"/>
    <w:rsid w:val="18015F3F"/>
    <w:rsid w:val="18406460"/>
    <w:rsid w:val="1A725422"/>
    <w:rsid w:val="1BE8440E"/>
    <w:rsid w:val="1D155CEE"/>
    <w:rsid w:val="1F360FA4"/>
    <w:rsid w:val="1FDBBF84"/>
    <w:rsid w:val="20F57F95"/>
    <w:rsid w:val="240371BF"/>
    <w:rsid w:val="255F6ADC"/>
    <w:rsid w:val="25711CC6"/>
    <w:rsid w:val="25C741E6"/>
    <w:rsid w:val="276F80C0"/>
    <w:rsid w:val="27842671"/>
    <w:rsid w:val="29FD04D3"/>
    <w:rsid w:val="2ABE7A3E"/>
    <w:rsid w:val="2AFF09B6"/>
    <w:rsid w:val="2CA234A8"/>
    <w:rsid w:val="2E304D24"/>
    <w:rsid w:val="2EFA178C"/>
    <w:rsid w:val="2EFDF86C"/>
    <w:rsid w:val="2F9D17E1"/>
    <w:rsid w:val="30B46D73"/>
    <w:rsid w:val="319F7F4E"/>
    <w:rsid w:val="356A28F1"/>
    <w:rsid w:val="357C035A"/>
    <w:rsid w:val="368E000D"/>
    <w:rsid w:val="383D272C"/>
    <w:rsid w:val="38E6376C"/>
    <w:rsid w:val="39AE70AB"/>
    <w:rsid w:val="3A4DCE41"/>
    <w:rsid w:val="3A5A5AEB"/>
    <w:rsid w:val="3BCB56FA"/>
    <w:rsid w:val="3BFE08B4"/>
    <w:rsid w:val="3C0C0783"/>
    <w:rsid w:val="3EE7C2F4"/>
    <w:rsid w:val="3F371B56"/>
    <w:rsid w:val="3F792ED8"/>
    <w:rsid w:val="3F9F3A96"/>
    <w:rsid w:val="3FECA4B2"/>
    <w:rsid w:val="3FF58C48"/>
    <w:rsid w:val="42FF6694"/>
    <w:rsid w:val="43EA4B13"/>
    <w:rsid w:val="48BF60AB"/>
    <w:rsid w:val="493C27E9"/>
    <w:rsid w:val="496F39ED"/>
    <w:rsid w:val="49FF41D3"/>
    <w:rsid w:val="4BE068DB"/>
    <w:rsid w:val="4BF6002B"/>
    <w:rsid w:val="4BFFC6BE"/>
    <w:rsid w:val="4ECE2238"/>
    <w:rsid w:val="4FFA60DD"/>
    <w:rsid w:val="51DB4B86"/>
    <w:rsid w:val="51F64DB0"/>
    <w:rsid w:val="55333C3E"/>
    <w:rsid w:val="56F61702"/>
    <w:rsid w:val="5B48514E"/>
    <w:rsid w:val="5B6D707E"/>
    <w:rsid w:val="5F67802D"/>
    <w:rsid w:val="5F7DC4F2"/>
    <w:rsid w:val="5FB36814"/>
    <w:rsid w:val="5FBB8E56"/>
    <w:rsid w:val="5FFB5535"/>
    <w:rsid w:val="626644D9"/>
    <w:rsid w:val="63942986"/>
    <w:rsid w:val="64CA39A1"/>
    <w:rsid w:val="69630ADE"/>
    <w:rsid w:val="69BD5F13"/>
    <w:rsid w:val="69FB0B4B"/>
    <w:rsid w:val="6BFFE1FB"/>
    <w:rsid w:val="6C4A05C8"/>
    <w:rsid w:val="6D3B1A89"/>
    <w:rsid w:val="6DB7D8A3"/>
    <w:rsid w:val="6EC78701"/>
    <w:rsid w:val="6F7A5481"/>
    <w:rsid w:val="6FFE07A9"/>
    <w:rsid w:val="71BF4EC2"/>
    <w:rsid w:val="72734D90"/>
    <w:rsid w:val="73E75B71"/>
    <w:rsid w:val="7412278C"/>
    <w:rsid w:val="75DDCDA9"/>
    <w:rsid w:val="75FF44B1"/>
    <w:rsid w:val="77580F50"/>
    <w:rsid w:val="77670518"/>
    <w:rsid w:val="777FA627"/>
    <w:rsid w:val="77DF1B5F"/>
    <w:rsid w:val="77EF2D9D"/>
    <w:rsid w:val="785524EA"/>
    <w:rsid w:val="79E7B28D"/>
    <w:rsid w:val="7ACFF0C2"/>
    <w:rsid w:val="7AFB9108"/>
    <w:rsid w:val="7BD5340C"/>
    <w:rsid w:val="7BFB19D2"/>
    <w:rsid w:val="7BFD1750"/>
    <w:rsid w:val="7BFDAA1B"/>
    <w:rsid w:val="7CDF9A82"/>
    <w:rsid w:val="7CFFA1BD"/>
    <w:rsid w:val="7D2E3F7A"/>
    <w:rsid w:val="7DED9490"/>
    <w:rsid w:val="7DFF4872"/>
    <w:rsid w:val="7E7487E6"/>
    <w:rsid w:val="7E7C2A54"/>
    <w:rsid w:val="7EEEFD72"/>
    <w:rsid w:val="7F1D517C"/>
    <w:rsid w:val="7F5DA057"/>
    <w:rsid w:val="7F6C2237"/>
    <w:rsid w:val="7F7F319B"/>
    <w:rsid w:val="7F9F20EE"/>
    <w:rsid w:val="7FBBE890"/>
    <w:rsid w:val="7FBC2ABD"/>
    <w:rsid w:val="7FBF5D48"/>
    <w:rsid w:val="7FCCFC01"/>
    <w:rsid w:val="7FDD1748"/>
    <w:rsid w:val="7FE769C6"/>
    <w:rsid w:val="7FFD083E"/>
    <w:rsid w:val="7FFF9372"/>
    <w:rsid w:val="84BF1F3B"/>
    <w:rsid w:val="8F55B106"/>
    <w:rsid w:val="95DF317D"/>
    <w:rsid w:val="97E77C70"/>
    <w:rsid w:val="9E3A10E2"/>
    <w:rsid w:val="9FB91FBD"/>
    <w:rsid w:val="9FD54998"/>
    <w:rsid w:val="A671883B"/>
    <w:rsid w:val="A7EFD17F"/>
    <w:rsid w:val="A7FFE43F"/>
    <w:rsid w:val="BDFEA317"/>
    <w:rsid w:val="CD9BBABB"/>
    <w:rsid w:val="CF99F292"/>
    <w:rsid w:val="D5DA60B3"/>
    <w:rsid w:val="D7C6F579"/>
    <w:rsid w:val="D8FECA92"/>
    <w:rsid w:val="DAFFBE66"/>
    <w:rsid w:val="DD2C0BFE"/>
    <w:rsid w:val="DE3F332B"/>
    <w:rsid w:val="DE6F4A3D"/>
    <w:rsid w:val="DF69F8B0"/>
    <w:rsid w:val="DFC71555"/>
    <w:rsid w:val="DFFC559C"/>
    <w:rsid w:val="DFFEDFAE"/>
    <w:rsid w:val="DFFFB5EB"/>
    <w:rsid w:val="E4B33E57"/>
    <w:rsid w:val="E5BF946A"/>
    <w:rsid w:val="EB39BD45"/>
    <w:rsid w:val="EBCF1FC2"/>
    <w:rsid w:val="EBD18F66"/>
    <w:rsid w:val="ED17392C"/>
    <w:rsid w:val="ED9FFD9A"/>
    <w:rsid w:val="EDB7968B"/>
    <w:rsid w:val="EEF73F60"/>
    <w:rsid w:val="EFED9E42"/>
    <w:rsid w:val="EFFFB194"/>
    <w:rsid w:val="F2E1F9D4"/>
    <w:rsid w:val="F5FF7449"/>
    <w:rsid w:val="F7880819"/>
    <w:rsid w:val="F7AF180D"/>
    <w:rsid w:val="F7BDBFA7"/>
    <w:rsid w:val="F7FAD68F"/>
    <w:rsid w:val="F7FB14CF"/>
    <w:rsid w:val="FB3FC69C"/>
    <w:rsid w:val="FBDFF225"/>
    <w:rsid w:val="FBF7AB63"/>
    <w:rsid w:val="FC2F3373"/>
    <w:rsid w:val="FCF51535"/>
    <w:rsid w:val="FD77F6B8"/>
    <w:rsid w:val="FDD69328"/>
    <w:rsid w:val="FDDFEC0E"/>
    <w:rsid w:val="FDE58BDD"/>
    <w:rsid w:val="FDEC7001"/>
    <w:rsid w:val="FEDFE87F"/>
    <w:rsid w:val="FEF1D25B"/>
    <w:rsid w:val="FF3EF90F"/>
    <w:rsid w:val="FFAF6081"/>
    <w:rsid w:val="FFECCD8C"/>
    <w:rsid w:val="FFED60BD"/>
    <w:rsid w:val="FFEE08F0"/>
    <w:rsid w:val="FFEE7F9F"/>
    <w:rsid w:val="FFFF319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28"/>
    <w:qFormat/>
    <w:uiPriority w:val="9"/>
    <w:pPr>
      <w:keepNext/>
      <w:keepLines/>
      <w:spacing w:before="340" w:after="330" w:line="578" w:lineRule="auto"/>
      <w:outlineLvl w:val="0"/>
    </w:pPr>
    <w:rPr>
      <w:b/>
      <w:bCs/>
      <w:kern w:val="44"/>
      <w:sz w:val="44"/>
      <w:szCs w:val="44"/>
    </w:rPr>
  </w:style>
  <w:style w:type="paragraph" w:styleId="6">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7">
    <w:name w:val="heading 3"/>
    <w:basedOn w:val="1"/>
    <w:next w:val="1"/>
    <w:link w:val="32"/>
    <w:unhideWhenUsed/>
    <w:qFormat/>
    <w:uiPriority w:val="9"/>
    <w:pPr>
      <w:keepNext/>
      <w:keepLines/>
      <w:spacing w:before="260" w:after="260" w:line="416" w:lineRule="auto"/>
      <w:outlineLvl w:val="2"/>
    </w:pPr>
    <w:rPr>
      <w:b/>
      <w:bCs/>
      <w:sz w:val="32"/>
      <w:szCs w:val="32"/>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footnote text"/>
    <w:basedOn w:val="1"/>
    <w:next w:val="3"/>
    <w:semiHidden/>
    <w:qFormat/>
    <w:uiPriority w:val="0"/>
    <w:pPr>
      <w:snapToGrid w:val="0"/>
      <w:jc w:val="left"/>
    </w:pPr>
    <w:rPr>
      <w:sz w:val="18"/>
      <w:szCs w:val="18"/>
    </w:rPr>
  </w:style>
  <w:style w:type="paragraph" w:styleId="3">
    <w:name w:val="Body Text First Indent 2"/>
    <w:basedOn w:val="4"/>
    <w:unhideWhenUsed/>
    <w:qFormat/>
    <w:uiPriority w:val="99"/>
    <w:pPr>
      <w:ind w:firstLine="420" w:firstLineChars="200"/>
    </w:pPr>
  </w:style>
  <w:style w:type="paragraph" w:styleId="4">
    <w:name w:val="Body Text Indent"/>
    <w:basedOn w:val="1"/>
    <w:next w:val="3"/>
    <w:qFormat/>
    <w:uiPriority w:val="0"/>
    <w:pPr>
      <w:spacing w:after="120"/>
      <w:ind w:left="200" w:leftChars="200"/>
    </w:pPr>
    <w:rPr>
      <w:rFonts w:ascii="仿宋_GB2312"/>
      <w:szCs w:val="32"/>
    </w:rPr>
  </w:style>
  <w:style w:type="paragraph" w:styleId="8">
    <w:name w:val="Body Text"/>
    <w:basedOn w:val="1"/>
    <w:link w:val="25"/>
    <w:qFormat/>
    <w:uiPriority w:val="99"/>
    <w:pPr>
      <w:spacing w:beforeLines="30"/>
    </w:pPr>
    <w:rPr>
      <w:rFonts w:ascii="仿宋_GB2312" w:eastAsia="仿宋_GB2312"/>
      <w:kern w:val="0"/>
      <w:sz w:val="30"/>
    </w:r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1"/>
    <w:semiHidden/>
    <w:unhideWhenUsed/>
    <w:qFormat/>
    <w:uiPriority w:val="99"/>
    <w:rPr>
      <w:sz w:val="18"/>
      <w:szCs w:val="18"/>
    </w:rPr>
  </w:style>
  <w:style w:type="paragraph" w:styleId="11">
    <w:name w:val="footer"/>
    <w:basedOn w:val="1"/>
    <w:link w:val="23"/>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1"/>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oc 2"/>
    <w:basedOn w:val="1"/>
    <w:next w:val="1"/>
    <w:unhideWhenUsed/>
    <w:qFormat/>
    <w:uiPriority w:val="39"/>
    <w:pPr>
      <w:tabs>
        <w:tab w:val="right" w:leader="dot" w:pos="8296"/>
      </w:tabs>
      <w:ind w:left="420" w:leftChars="200"/>
    </w:pPr>
  </w:style>
  <w:style w:type="character" w:styleId="17">
    <w:name w:val="Strong"/>
    <w:basedOn w:val="16"/>
    <w:qFormat/>
    <w:uiPriority w:val="99"/>
    <w:rPr>
      <w:b/>
    </w:rPr>
  </w:style>
  <w:style w:type="character" w:styleId="18">
    <w:name w:val="Hyperlink"/>
    <w:basedOn w:val="16"/>
    <w:unhideWhenUsed/>
    <w:qFormat/>
    <w:uiPriority w:val="99"/>
    <w:rPr>
      <w:color w:val="0000FF" w:themeColor="hyperlink"/>
      <w:u w:val="single"/>
      <w14:textFill>
        <w14:solidFill>
          <w14:schemeClr w14:val="hlink"/>
        </w14:solidFill>
      </w14:textFill>
    </w:rPr>
  </w:style>
  <w:style w:type="paragraph" w:customStyle="1" w:styleId="19">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20">
    <w:name w:val="Header Char"/>
    <w:basedOn w:val="16"/>
    <w:semiHidden/>
    <w:qFormat/>
    <w:uiPriority w:val="99"/>
    <w:rPr>
      <w:rFonts w:ascii="Times New Roman" w:hAnsi="Times New Roman"/>
      <w:sz w:val="18"/>
      <w:szCs w:val="18"/>
    </w:rPr>
  </w:style>
  <w:style w:type="character" w:customStyle="1" w:styleId="21">
    <w:name w:val="页眉 字符"/>
    <w:link w:val="12"/>
    <w:semiHidden/>
    <w:qFormat/>
    <w:locked/>
    <w:uiPriority w:val="99"/>
    <w:rPr>
      <w:sz w:val="18"/>
    </w:rPr>
  </w:style>
  <w:style w:type="character" w:customStyle="1" w:styleId="22">
    <w:name w:val="Footer Char"/>
    <w:basedOn w:val="16"/>
    <w:semiHidden/>
    <w:qFormat/>
    <w:uiPriority w:val="99"/>
    <w:rPr>
      <w:rFonts w:ascii="Times New Roman" w:hAnsi="Times New Roman"/>
      <w:sz w:val="18"/>
      <w:szCs w:val="18"/>
    </w:rPr>
  </w:style>
  <w:style w:type="character" w:customStyle="1" w:styleId="23">
    <w:name w:val="页脚 字符"/>
    <w:link w:val="11"/>
    <w:qFormat/>
    <w:locked/>
    <w:uiPriority w:val="99"/>
    <w:rPr>
      <w:sz w:val="18"/>
    </w:rPr>
  </w:style>
  <w:style w:type="character" w:customStyle="1" w:styleId="24">
    <w:name w:val="Body Text Char"/>
    <w:basedOn w:val="16"/>
    <w:semiHidden/>
    <w:qFormat/>
    <w:uiPriority w:val="99"/>
    <w:rPr>
      <w:rFonts w:ascii="Times New Roman" w:hAnsi="Times New Roman"/>
      <w:szCs w:val="24"/>
    </w:rPr>
  </w:style>
  <w:style w:type="character" w:customStyle="1" w:styleId="25">
    <w:name w:val="正文文本 字符"/>
    <w:link w:val="8"/>
    <w:qFormat/>
    <w:locked/>
    <w:uiPriority w:val="99"/>
    <w:rPr>
      <w:rFonts w:ascii="仿宋_GB2312" w:hAnsi="Times New Roman" w:eastAsia="仿宋_GB2312"/>
      <w:sz w:val="24"/>
    </w:rPr>
  </w:style>
  <w:style w:type="paragraph" w:customStyle="1" w:styleId="26">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7">
    <w:name w:val="List Paragraph"/>
    <w:basedOn w:val="1"/>
    <w:qFormat/>
    <w:uiPriority w:val="34"/>
    <w:pPr>
      <w:ind w:firstLine="420" w:firstLineChars="200"/>
    </w:pPr>
  </w:style>
  <w:style w:type="character" w:customStyle="1" w:styleId="28">
    <w:name w:val="标题 1 字符"/>
    <w:basedOn w:val="16"/>
    <w:link w:val="5"/>
    <w:qFormat/>
    <w:uiPriority w:val="9"/>
    <w:rPr>
      <w:rFonts w:ascii="Times New Roman" w:hAnsi="Times New Roman"/>
      <w:b/>
      <w:bCs/>
      <w:kern w:val="44"/>
      <w:sz w:val="44"/>
      <w:szCs w:val="44"/>
    </w:rPr>
  </w:style>
  <w:style w:type="character" w:customStyle="1" w:styleId="29">
    <w:name w:val="标题 2 字符"/>
    <w:basedOn w:val="16"/>
    <w:link w:val="6"/>
    <w:qFormat/>
    <w:uiPriority w:val="9"/>
    <w:rPr>
      <w:rFonts w:asciiTheme="majorHAnsi" w:hAnsiTheme="majorHAnsi" w:eastAsiaTheme="majorEastAsia" w:cstheme="majorBidi"/>
      <w:b/>
      <w:bCs/>
      <w:kern w:val="2"/>
      <w:sz w:val="32"/>
      <w:szCs w:val="32"/>
    </w:rPr>
  </w:style>
  <w:style w:type="paragraph" w:customStyle="1" w:styleId="30">
    <w:name w:val="TOC 标题1"/>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1">
    <w:name w:val="批注框文本 字符"/>
    <w:basedOn w:val="16"/>
    <w:link w:val="10"/>
    <w:semiHidden/>
    <w:qFormat/>
    <w:uiPriority w:val="99"/>
    <w:rPr>
      <w:rFonts w:ascii="Times New Roman" w:hAnsi="Times New Roman"/>
      <w:kern w:val="2"/>
      <w:sz w:val="18"/>
      <w:szCs w:val="18"/>
    </w:rPr>
  </w:style>
  <w:style w:type="character" w:customStyle="1" w:styleId="32">
    <w:name w:val="标题 3 字符"/>
    <w:basedOn w:val="16"/>
    <w:link w:val="7"/>
    <w:qFormat/>
    <w:uiPriority w:val="9"/>
    <w:rPr>
      <w:rFonts w:ascii="Times New Roman" w:hAnsi="Times New Roman"/>
      <w:b/>
      <w:bCs/>
      <w:kern w:val="2"/>
      <w:sz w:val="32"/>
      <w:szCs w:val="32"/>
    </w:rPr>
  </w:style>
  <w:style w:type="paragraph" w:customStyle="1" w:styleId="33">
    <w:name w:val="TOC 标题2"/>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四川省财政厅</Company>
  <Pages>20</Pages>
  <Words>6285</Words>
  <Characters>7763</Characters>
  <Lines>54</Lines>
  <Paragraphs>15</Paragraphs>
  <TotalTime>16</TotalTime>
  <ScaleCrop>false</ScaleCrop>
  <LinksUpToDate>false</LinksUpToDate>
  <CharactersWithSpaces>7797</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2020-08-08T01:49:00Z</dcterms:created>
  <dc:creator>曹颖</dc:creator>
  <cp:lastModifiedBy>kk</cp:lastModifiedBy>
  <cp:lastPrinted>2025-10-28T03:25:12Z</cp:lastPrinted>
  <dcterms:modified xsi:type="dcterms:W3CDTF">2025-10-28T03:25:18Z</dcterms:modified>
  <dc:title>四川省***</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4FF93E3E71DC47F8885135ABF8DD7045</vt:lpwstr>
  </property>
</Properties>
</file>